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Mathematical Validation of the</w:t>
        <w:br/>
        <w:t>Jacob Ancestry Simulator</w:t>
      </w:r>
    </w:p>
    <w:p>
      <w:pPr>
        <w:jc w:val="center"/>
      </w:pPr>
      <w:r>
        <w:rPr>
          <w:b/>
          <w:color w:val="5D2D2B"/>
          <w:sz w:val="26"/>
        </w:rPr>
        <w:t>Independent benchmark replication of Rohde, Olson &amp; Chang (2004)</w:t>
      </w:r>
    </w:p>
    <w:p>
      <w:pPr>
        <w:jc w:val="center"/>
      </w:pPr>
      <w:r>
        <w:rPr>
          <w:sz w:val="20"/>
        </w:rPr>
        <w:t>Validation report and reproducibility appendix | 31 August 2026</w:t>
      </w:r>
    </w:p>
    <w:p/>
    <w:tbl>
      <w:tblPr>
        <w:tblW w:type="auto" w:w="0"/>
        <w:jc w:val="center"/>
        <w:tblLayout w:type="autofit"/>
        <w:tblLook w:firstColumn="1" w:firstRow="1" w:lastColumn="0" w:lastRow="0" w:noHBand="0" w:noVBand="1" w:val="04A0"/>
      </w:tblPr>
      <w:tblGrid>
        <w:gridCol w:w="10166"/>
      </w:tblGrid>
      <w:tr>
        <w:tc>
          <w:tcPr>
            <w:tcW w:type="dxa" w:w="10166"/>
            <w:shd w:fill="F3EBDD"/>
            <w:tcBorders>
              <w:top w:val="single" w:sz="8" w:color="B38B55"/>
              <w:left w:val="single" w:sz="8" w:color="B38B55"/>
              <w:bottom w:val="single" w:sz="8" w:color="B38B55"/>
              <w:right w:val="single" w:sz="8" w:color="B38B55"/>
            </w:tcBorders>
          </w:tcPr>
          <w:p>
            <w:pPr>
              <w:spacing w:after="80"/>
            </w:pPr>
            <w:r>
              <w:rPr>
                <w:b/>
                <w:color w:val="5D2D2B"/>
                <w:sz w:val="21"/>
              </w:rPr>
              <w:t>Executive result</w:t>
            </w:r>
          </w:p>
          <w:p>
            <w:pPr>
              <w:spacing w:after="40"/>
            </w:pPr>
            <w:r>
              <w:rPr>
                <w:sz w:val="18"/>
              </w:rPr>
              <w:t>An independently written implementation reproduced all 20 cells of Rohde et al. Tables 1 and 2 using the same 100 Monte Carlo runs per cell. Across the 40 reported MRCA/IA means, the mean absolute difference from the published means was 0.160 generations; the largest difference was 0.51 generations. Every replicated mean fell within one published run-level standard deviation of the corresponding published mean. Separate brute-force unit tests also passed.</w:t>
            </w:r>
          </w:p>
        </w:tc>
      </w:tr>
    </w:tbl>
    <w:p>
      <w:pPr>
        <w:spacing w:after="0"/>
      </w:pPr>
    </w:p>
    <w:tbl>
      <w:tblPr>
        <w:tblW w:type="auto" w:w="0"/>
        <w:jc w:val="center"/>
        <w:tblLayout w:type="autofit"/>
        <w:tblLook w:firstColumn="1" w:firstRow="1" w:lastColumn="0" w:lastRow="0" w:noHBand="0" w:noVBand="1" w:val="04A0"/>
      </w:tblPr>
      <w:tblGrid>
        <w:gridCol w:w="10166"/>
      </w:tblGrid>
      <w:tr>
        <w:tc>
          <w:tcPr>
            <w:tcW w:type="dxa" w:w="10166"/>
            <w:shd w:fill="F6E9E7"/>
            <w:tcBorders>
              <w:top w:val="single" w:sz="8" w:color="93423E"/>
              <w:left w:val="single" w:sz="8" w:color="93423E"/>
              <w:bottom w:val="single" w:sz="8" w:color="93423E"/>
              <w:right w:val="single" w:sz="8" w:color="93423E"/>
            </w:tcBorders>
          </w:tcPr>
          <w:p>
            <w:pPr>
              <w:spacing w:after="80"/>
            </w:pPr>
            <w:r>
              <w:rPr>
                <w:b/>
                <w:color w:val="5D2D2B"/>
                <w:sz w:val="21"/>
              </w:rPr>
              <w:t>Critical scope limitation</w:t>
            </w:r>
          </w:p>
          <w:p>
            <w:pPr>
              <w:spacing w:after="40"/>
            </w:pPr>
            <w:r>
              <w:rPr>
                <w:sz w:val="18"/>
              </w:rPr>
              <w:t>This report validates the mathematical ancestry mechanism and an independent implementation of the published Rohde-style benchmark. It does not prove that the biblical Jacob was historical, that his lineage survived, that historical migration rates equaled any chosen simulator parameters, or that the current production website code is byte-for-byte identical to this validation implementation. Those are separate historical, demographic, and software-audit questions.</w:t>
            </w:r>
          </w:p>
        </w:tc>
      </w:tr>
    </w:tbl>
    <w:p>
      <w:pPr>
        <w:spacing w:after="0"/>
      </w:pPr>
    </w:p>
    <w:p>
      <w:pPr>
        <w:jc w:val="center"/>
      </w:pPr>
      <w:r>
        <w:rPr>
          <w:i/>
          <w:sz w:val="19"/>
        </w:rPr>
        <w:t>Prepared as a reproducible technical appendix for scholarly review</w:t>
      </w:r>
    </w:p>
    <w:p>
      <w:r>
        <w:br w:type="page"/>
      </w:r>
    </w:p>
    <w:p>
      <w:pPr>
        <w:pStyle w:val="Heading1"/>
      </w:pPr>
      <w:r>
        <w:t>1. What is being tested?</w:t>
      </w:r>
    </w:p>
    <w:p>
      <w:r>
        <w:t>The question is not whether a simulation can be made to produce rapid common ancestry. The stronger test is whether an independently written program reproduces benchmark results for which the mathematical behavior is already known and peer reviewed.</w:t>
      </w:r>
    </w:p>
    <w:p>
      <w:r>
        <w:t>Rohde, Olson, and Chang (Nature 431, 2004) studied genealogical ancestry, not merely genetic ancestry. In the one-population model, each person has two parents and the population is randomly mating. Chang’s earlier theorem gives, asymptotically:</w:t>
      </w:r>
    </w:p>
    <w:p>
      <w:pPr>
        <w:pStyle w:val="Code"/>
        <w:jc w:val="center"/>
      </w:pPr>
      <w:r>
        <w:t>T_N / log2(N)  -&gt;  1</w:t>
      </w:r>
    </w:p>
    <w:p>
      <w:r>
        <w:t>where T_N is the number of generations back to the genealogical most recent common ancestor (MRCA). The identical-ancestors (IA) point satisfies:</w:t>
      </w:r>
    </w:p>
    <w:p>
      <w:pPr>
        <w:pStyle w:val="Code"/>
        <w:jc w:val="center"/>
      </w:pPr>
      <w:r>
        <w:t>U_N / [1.77 log2(N)]  -&gt;  1</w:t>
      </w:r>
    </w:p>
    <w:p>
      <w:r>
        <w:t>For the graph-structured model in Supplementary Methods A, let R be the graph radius, D the graph diameter, and Delta a graph-structure correction between 0 and 1. Then:</w:t>
      </w:r>
    </w:p>
    <w:p>
      <w:pPr>
        <w:pStyle w:val="Code"/>
        <w:jc w:val="center"/>
      </w:pPr>
      <w:r>
        <w:t>T_N / [(R + Delta) log2(N)]  -&gt;  1</w:t>
      </w:r>
    </w:p>
    <w:p>
      <w:pPr>
        <w:pStyle w:val="Code"/>
        <w:jc w:val="center"/>
      </w:pPr>
      <w:r>
        <w:t>U_N / [(D + 1.77) log2(N)]  -&gt;  1</w:t>
      </w:r>
    </w:p>
    <w:p>
      <w:r>
        <w:t>Consequently, doubling N should asymptotically increase T_N by R + Delta generations and U_N by D + 1.77 generations. This provides a direct calculator-level test independent of historical claims about Jacob.</w:t>
      </w:r>
    </w:p>
    <w:p>
      <w:pPr>
        <w:pStyle w:val="Heading1"/>
      </w:pPr>
      <w:r>
        <w:t>2. Published benchmark structure</w:t>
      </w:r>
    </w:p>
    <w:p>
      <w:r>
        <w:t>Rohde et al. reported Tables 1 and 2 for five population sizes (1,000 through 16,000), with 100 simulation runs per cell. Neighboring subpopulations exchanged one pair of migrants per edge per generation. The last columns of the published tables report the theoretical increment expected when population size doubles.</w:t>
      </w:r>
    </w:p>
    <w:tbl>
      <w:tblPr>
        <w:tblStyle w:val="TableGrid"/>
        <w:tblW w:type="auto" w:w="0"/>
        <w:jc w:val="center"/>
        <w:tblLook w:firstColumn="1" w:firstRow="1" w:lastColumn="0" w:lastRow="0" w:noHBand="0" w:noVBand="1" w:val="04A0"/>
      </w:tblPr>
      <w:tblGrid>
        <w:gridCol w:w="1452"/>
        <w:gridCol w:w="1452"/>
        <w:gridCol w:w="1452"/>
        <w:gridCol w:w="1452"/>
        <w:gridCol w:w="1452"/>
        <w:gridCol w:w="1452"/>
        <w:gridCol w:w="1452"/>
      </w:tblGrid>
      <w:tr>
        <w:tc>
          <w:tcPr>
            <w:tcW w:type="dxa" w:w="1452"/>
            <w:vAlign w:val="center"/>
            <w:shd w:fill="1B2E41"/>
          </w:tcPr>
          <w:p>
            <w:pPr>
              <w:spacing w:after="0"/>
            </w:pPr>
            <w:r/>
            <w:r>
              <w:rPr>
                <w:rFonts w:ascii="Aptos" w:hAnsi="Aptos"/>
                <w:b/>
                <w:color w:val="FFFFFF"/>
                <w:sz w:val="15"/>
              </w:rPr>
              <w:t>Graph</w:t>
            </w:r>
          </w:p>
        </w:tc>
        <w:tc>
          <w:tcPr>
            <w:tcW w:type="dxa" w:w="1452"/>
            <w:vAlign w:val="center"/>
            <w:shd w:fill="1B2E41"/>
          </w:tcPr>
          <w:p>
            <w:pPr>
              <w:spacing w:after="0"/>
            </w:pPr>
            <w:r/>
            <w:r>
              <w:rPr>
                <w:rFonts w:ascii="Aptos" w:hAnsi="Aptos"/>
                <w:b/>
                <w:color w:val="FFFFFF"/>
                <w:sz w:val="15"/>
              </w:rPr>
              <w:t>G</w:t>
            </w:r>
          </w:p>
        </w:tc>
        <w:tc>
          <w:tcPr>
            <w:tcW w:type="dxa" w:w="1452"/>
            <w:vAlign w:val="center"/>
            <w:shd w:fill="1B2E41"/>
          </w:tcPr>
          <w:p>
            <w:pPr>
              <w:spacing w:after="0"/>
            </w:pPr>
            <w:r/>
            <w:r>
              <w:rPr>
                <w:rFonts w:ascii="Aptos" w:hAnsi="Aptos"/>
                <w:b/>
                <w:color w:val="FFFFFF"/>
                <w:sz w:val="15"/>
              </w:rPr>
              <w:t>R</w:t>
            </w:r>
          </w:p>
        </w:tc>
        <w:tc>
          <w:tcPr>
            <w:tcW w:type="dxa" w:w="1452"/>
            <w:vAlign w:val="center"/>
            <w:shd w:fill="1B2E41"/>
          </w:tcPr>
          <w:p>
            <w:pPr>
              <w:spacing w:after="0"/>
            </w:pPr>
            <w:r/>
            <w:r>
              <w:rPr>
                <w:rFonts w:ascii="Aptos" w:hAnsi="Aptos"/>
                <w:b/>
                <w:color w:val="FFFFFF"/>
                <w:sz w:val="15"/>
              </w:rPr>
              <w:t>D</w:t>
            </w:r>
          </w:p>
        </w:tc>
        <w:tc>
          <w:tcPr>
            <w:tcW w:type="dxa" w:w="1452"/>
            <w:vAlign w:val="center"/>
            <w:shd w:fill="1B2E41"/>
          </w:tcPr>
          <w:p>
            <w:pPr>
              <w:spacing w:after="0"/>
            </w:pPr>
            <w:r/>
            <w:r>
              <w:rPr>
                <w:rFonts w:ascii="Aptos" w:hAnsi="Aptos"/>
                <w:b/>
                <w:color w:val="FFFFFF"/>
                <w:sz w:val="15"/>
              </w:rPr>
              <w:t>Delta</w:t>
            </w:r>
          </w:p>
        </w:tc>
        <w:tc>
          <w:tcPr>
            <w:tcW w:type="dxa" w:w="1452"/>
            <w:vAlign w:val="center"/>
            <w:shd w:fill="1B2E41"/>
          </w:tcPr>
          <w:p>
            <w:pPr>
              <w:spacing w:after="0"/>
            </w:pPr>
            <w:r/>
            <w:r>
              <w:rPr>
                <w:rFonts w:ascii="Aptos" w:hAnsi="Aptos"/>
                <w:b/>
                <w:color w:val="FFFFFF"/>
                <w:sz w:val="15"/>
              </w:rPr>
              <w:t>Theory ΔT / doubling</w:t>
            </w:r>
          </w:p>
        </w:tc>
        <w:tc>
          <w:tcPr>
            <w:tcW w:type="dxa" w:w="1452"/>
            <w:vAlign w:val="center"/>
            <w:shd w:fill="1B2E41"/>
          </w:tcPr>
          <w:p>
            <w:pPr>
              <w:spacing w:after="0"/>
            </w:pPr>
            <w:r/>
            <w:r>
              <w:rPr>
                <w:rFonts w:ascii="Aptos" w:hAnsi="Aptos"/>
                <w:b/>
                <w:color w:val="FFFFFF"/>
                <w:sz w:val="15"/>
              </w:rPr>
              <w:t>Theory ΔU / doubling</w:t>
            </w:r>
          </w:p>
        </w:tc>
      </w:tr>
      <w:tr>
        <w:tc>
          <w:tcPr>
            <w:tcW w:type="dxa" w:w="1452"/>
            <w:vAlign w:val="center"/>
          </w:tcPr>
          <w:p>
            <w:pPr>
              <w:spacing w:after="0"/>
            </w:pPr>
            <w:r/>
            <w:r>
              <w:rPr>
                <w:rFonts w:ascii="Aptos" w:hAnsi="Aptos"/>
                <w:b w:val="0"/>
                <w:sz w:val="15"/>
              </w:rPr>
              <w:t>One node</w:t>
            </w:r>
          </w:p>
        </w:tc>
        <w:tc>
          <w:tcPr>
            <w:tcW w:type="dxa" w:w="1452"/>
            <w:vAlign w:val="center"/>
          </w:tcPr>
          <w:p>
            <w:pPr>
              <w:spacing w:after="0"/>
            </w:pPr>
            <w:r/>
            <w:r>
              <w:rPr>
                <w:rFonts w:ascii="Aptos" w:hAnsi="Aptos"/>
                <w:b w:val="0"/>
                <w:sz w:val="15"/>
              </w:rPr>
              <w:t>1</w:t>
            </w:r>
          </w:p>
        </w:tc>
        <w:tc>
          <w:tcPr>
            <w:tcW w:type="dxa" w:w="1452"/>
            <w:vAlign w:val="center"/>
          </w:tcPr>
          <w:p>
            <w:pPr>
              <w:spacing w:after="0"/>
            </w:pPr>
            <w:r/>
            <w:r>
              <w:rPr>
                <w:rFonts w:ascii="Aptos" w:hAnsi="Aptos"/>
                <w:b w:val="0"/>
                <w:sz w:val="15"/>
              </w:rPr>
              <w:t>-</w:t>
            </w:r>
          </w:p>
        </w:tc>
        <w:tc>
          <w:tcPr>
            <w:tcW w:type="dxa" w:w="1452"/>
            <w:vAlign w:val="center"/>
          </w:tcPr>
          <w:p>
            <w:pPr>
              <w:spacing w:after="0"/>
            </w:pPr>
            <w:r/>
            <w:r>
              <w:rPr>
                <w:rFonts w:ascii="Aptos" w:hAnsi="Aptos"/>
                <w:b w:val="0"/>
                <w:sz w:val="15"/>
              </w:rPr>
              <w:t>0</w:t>
            </w:r>
          </w:p>
        </w:tc>
        <w:tc>
          <w:tcPr>
            <w:tcW w:type="dxa" w:w="1452"/>
            <w:vAlign w:val="center"/>
          </w:tcPr>
          <w:p>
            <w:pPr>
              <w:spacing w:after="0"/>
            </w:pPr>
            <w:r/>
            <w:r>
              <w:rPr>
                <w:rFonts w:ascii="Aptos" w:hAnsi="Aptos"/>
                <w:b w:val="0"/>
                <w:sz w:val="15"/>
              </w:rPr>
              <w:t>-</w:t>
            </w:r>
          </w:p>
        </w:tc>
        <w:tc>
          <w:tcPr>
            <w:tcW w:type="dxa" w:w="1452"/>
            <w:vAlign w:val="center"/>
          </w:tcPr>
          <w:p>
            <w:pPr>
              <w:spacing w:after="0"/>
            </w:pPr>
            <w:r/>
            <w:r>
              <w:rPr>
                <w:rFonts w:ascii="Aptos" w:hAnsi="Aptos"/>
                <w:b w:val="0"/>
                <w:sz w:val="15"/>
              </w:rPr>
              <w:t>1.0</w:t>
            </w:r>
          </w:p>
        </w:tc>
        <w:tc>
          <w:tcPr>
            <w:tcW w:type="dxa" w:w="1452"/>
            <w:vAlign w:val="center"/>
          </w:tcPr>
          <w:p>
            <w:pPr>
              <w:spacing w:after="0"/>
            </w:pPr>
            <w:r/>
            <w:r>
              <w:rPr>
                <w:rFonts w:ascii="Aptos" w:hAnsi="Aptos"/>
                <w:b w:val="0"/>
                <w:sz w:val="15"/>
              </w:rPr>
              <w:t>1.77</w:t>
            </w:r>
          </w:p>
        </w:tc>
      </w:tr>
      <w:tr>
        <w:tc>
          <w:tcPr>
            <w:tcW w:type="dxa" w:w="1452"/>
            <w:vAlign w:val="center"/>
          </w:tcPr>
          <w:p>
            <w:pPr>
              <w:spacing w:after="0"/>
            </w:pPr>
            <w:r/>
            <w:r>
              <w:rPr>
                <w:rFonts w:ascii="Aptos" w:hAnsi="Aptos"/>
                <w:b w:val="0"/>
                <w:sz w:val="15"/>
              </w:rPr>
              <w:t>Three fully connected</w:t>
            </w:r>
          </w:p>
        </w:tc>
        <w:tc>
          <w:tcPr>
            <w:tcW w:type="dxa" w:w="1452"/>
            <w:vAlign w:val="center"/>
          </w:tcPr>
          <w:p>
            <w:pPr>
              <w:spacing w:after="0"/>
            </w:pPr>
            <w:r/>
            <w:r>
              <w:rPr>
                <w:rFonts w:ascii="Aptos" w:hAnsi="Aptos"/>
                <w:b w:val="0"/>
                <w:sz w:val="15"/>
              </w:rPr>
              <w:t>3</w:t>
            </w:r>
          </w:p>
        </w:tc>
        <w:tc>
          <w:tcPr>
            <w:tcW w:type="dxa" w:w="1452"/>
            <w:vAlign w:val="center"/>
          </w:tcPr>
          <w:p>
            <w:pPr>
              <w:spacing w:after="0"/>
            </w:pPr>
            <w:r/>
            <w:r>
              <w:rPr>
                <w:rFonts w:ascii="Aptos" w:hAnsi="Aptos"/>
                <w:b w:val="0"/>
                <w:sz w:val="15"/>
              </w:rPr>
              <w:t>1</w:t>
            </w:r>
          </w:p>
        </w:tc>
        <w:tc>
          <w:tcPr>
            <w:tcW w:type="dxa" w:w="1452"/>
            <w:vAlign w:val="center"/>
          </w:tcPr>
          <w:p>
            <w:pPr>
              <w:spacing w:after="0"/>
            </w:pPr>
            <w:r/>
            <w:r>
              <w:rPr>
                <w:rFonts w:ascii="Aptos" w:hAnsi="Aptos"/>
                <w:b w:val="0"/>
                <w:sz w:val="15"/>
              </w:rPr>
              <w:t>1</w:t>
            </w:r>
          </w:p>
        </w:tc>
        <w:tc>
          <w:tcPr>
            <w:tcW w:type="dxa" w:w="1452"/>
            <w:vAlign w:val="center"/>
          </w:tcPr>
          <w:p>
            <w:pPr>
              <w:spacing w:after="0"/>
            </w:pPr>
            <w:r/>
            <w:r>
              <w:rPr>
                <w:rFonts w:ascii="Aptos" w:hAnsi="Aptos"/>
                <w:b w:val="0"/>
                <w:sz w:val="15"/>
              </w:rPr>
              <w:t>0.5</w:t>
            </w:r>
          </w:p>
        </w:tc>
        <w:tc>
          <w:tcPr>
            <w:tcW w:type="dxa" w:w="1452"/>
            <w:vAlign w:val="center"/>
          </w:tcPr>
          <w:p>
            <w:pPr>
              <w:spacing w:after="0"/>
            </w:pPr>
            <w:r/>
            <w:r>
              <w:rPr>
                <w:rFonts w:ascii="Aptos" w:hAnsi="Aptos"/>
                <w:b w:val="0"/>
                <w:sz w:val="15"/>
              </w:rPr>
              <w:t>1.5</w:t>
            </w:r>
          </w:p>
        </w:tc>
        <w:tc>
          <w:tcPr>
            <w:tcW w:type="dxa" w:w="1452"/>
            <w:vAlign w:val="center"/>
          </w:tcPr>
          <w:p>
            <w:pPr>
              <w:spacing w:after="0"/>
            </w:pPr>
            <w:r/>
            <w:r>
              <w:rPr>
                <w:rFonts w:ascii="Aptos" w:hAnsi="Aptos"/>
                <w:b w:val="0"/>
                <w:sz w:val="15"/>
              </w:rPr>
              <w:t>2.77</w:t>
            </w:r>
          </w:p>
        </w:tc>
      </w:tr>
      <w:tr>
        <w:tc>
          <w:tcPr>
            <w:tcW w:type="dxa" w:w="1452"/>
            <w:vAlign w:val="center"/>
          </w:tcPr>
          <w:p>
            <w:pPr>
              <w:spacing w:after="0"/>
            </w:pPr>
            <w:r/>
            <w:r>
              <w:rPr>
                <w:rFonts w:ascii="Aptos" w:hAnsi="Aptos"/>
                <w:b w:val="0"/>
                <w:sz w:val="15"/>
              </w:rPr>
              <w:t>Five fully connected</w:t>
            </w:r>
          </w:p>
        </w:tc>
        <w:tc>
          <w:tcPr>
            <w:tcW w:type="dxa" w:w="1452"/>
            <w:vAlign w:val="center"/>
          </w:tcPr>
          <w:p>
            <w:pPr>
              <w:spacing w:after="0"/>
            </w:pPr>
            <w:r/>
            <w:r>
              <w:rPr>
                <w:rFonts w:ascii="Aptos" w:hAnsi="Aptos"/>
                <w:b w:val="0"/>
                <w:sz w:val="15"/>
              </w:rPr>
              <w:t>5</w:t>
            </w:r>
          </w:p>
        </w:tc>
        <w:tc>
          <w:tcPr>
            <w:tcW w:type="dxa" w:w="1452"/>
            <w:vAlign w:val="center"/>
          </w:tcPr>
          <w:p>
            <w:pPr>
              <w:spacing w:after="0"/>
            </w:pPr>
            <w:r/>
            <w:r>
              <w:rPr>
                <w:rFonts w:ascii="Aptos" w:hAnsi="Aptos"/>
                <w:b w:val="0"/>
                <w:sz w:val="15"/>
              </w:rPr>
              <w:t>1</w:t>
            </w:r>
          </w:p>
        </w:tc>
        <w:tc>
          <w:tcPr>
            <w:tcW w:type="dxa" w:w="1452"/>
            <w:vAlign w:val="center"/>
          </w:tcPr>
          <w:p>
            <w:pPr>
              <w:spacing w:after="0"/>
            </w:pPr>
            <w:r/>
            <w:r>
              <w:rPr>
                <w:rFonts w:ascii="Aptos" w:hAnsi="Aptos"/>
                <w:b w:val="0"/>
                <w:sz w:val="15"/>
              </w:rPr>
              <w:t>1</w:t>
            </w:r>
          </w:p>
        </w:tc>
        <w:tc>
          <w:tcPr>
            <w:tcW w:type="dxa" w:w="1452"/>
            <w:vAlign w:val="center"/>
          </w:tcPr>
          <w:p>
            <w:pPr>
              <w:spacing w:after="0"/>
            </w:pPr>
            <w:r/>
            <w:r>
              <w:rPr>
                <w:rFonts w:ascii="Aptos" w:hAnsi="Aptos"/>
                <w:b w:val="0"/>
                <w:sz w:val="15"/>
              </w:rPr>
              <w:t>0.75</w:t>
            </w:r>
          </w:p>
        </w:tc>
        <w:tc>
          <w:tcPr>
            <w:tcW w:type="dxa" w:w="1452"/>
            <w:vAlign w:val="center"/>
          </w:tcPr>
          <w:p>
            <w:pPr>
              <w:spacing w:after="0"/>
            </w:pPr>
            <w:r/>
            <w:r>
              <w:rPr>
                <w:rFonts w:ascii="Aptos" w:hAnsi="Aptos"/>
                <w:b w:val="0"/>
                <w:sz w:val="15"/>
              </w:rPr>
              <w:t>1.75</w:t>
            </w:r>
          </w:p>
        </w:tc>
        <w:tc>
          <w:tcPr>
            <w:tcW w:type="dxa" w:w="1452"/>
            <w:vAlign w:val="center"/>
          </w:tcPr>
          <w:p>
            <w:pPr>
              <w:spacing w:after="0"/>
            </w:pPr>
            <w:r/>
            <w:r>
              <w:rPr>
                <w:rFonts w:ascii="Aptos" w:hAnsi="Aptos"/>
                <w:b w:val="0"/>
                <w:sz w:val="15"/>
              </w:rPr>
              <w:t>2.77</w:t>
            </w:r>
          </w:p>
        </w:tc>
      </w:tr>
      <w:tr>
        <w:tc>
          <w:tcPr>
            <w:tcW w:type="dxa" w:w="1452"/>
            <w:vAlign w:val="center"/>
          </w:tcPr>
          <w:p>
            <w:pPr>
              <w:spacing w:after="0"/>
            </w:pPr>
            <w:r/>
            <w:r>
              <w:rPr>
                <w:rFonts w:ascii="Aptos" w:hAnsi="Aptos"/>
                <w:b w:val="0"/>
                <w:sz w:val="15"/>
              </w:rPr>
              <w:t>Ten-node Fig. 1</w:t>
            </w:r>
          </w:p>
        </w:tc>
        <w:tc>
          <w:tcPr>
            <w:tcW w:type="dxa" w:w="1452"/>
            <w:vAlign w:val="center"/>
          </w:tcPr>
          <w:p>
            <w:pPr>
              <w:spacing w:after="0"/>
            </w:pPr>
            <w:r/>
            <w:r>
              <w:rPr>
                <w:rFonts w:ascii="Aptos" w:hAnsi="Aptos"/>
                <w:b w:val="0"/>
                <w:sz w:val="15"/>
              </w:rPr>
              <w:t>10</w:t>
            </w:r>
          </w:p>
        </w:tc>
        <w:tc>
          <w:tcPr>
            <w:tcW w:type="dxa" w:w="1452"/>
            <w:vAlign w:val="center"/>
          </w:tcPr>
          <w:p>
            <w:pPr>
              <w:spacing w:after="0"/>
            </w:pPr>
            <w:r/>
            <w:r>
              <w:rPr>
                <w:rFonts w:ascii="Aptos" w:hAnsi="Aptos"/>
                <w:b w:val="0"/>
                <w:sz w:val="15"/>
              </w:rPr>
              <w:t>3</w:t>
            </w:r>
          </w:p>
        </w:tc>
        <w:tc>
          <w:tcPr>
            <w:tcW w:type="dxa" w:w="1452"/>
            <w:vAlign w:val="center"/>
          </w:tcPr>
          <w:p>
            <w:pPr>
              <w:spacing w:after="0"/>
            </w:pPr>
            <w:r/>
            <w:r>
              <w:rPr>
                <w:rFonts w:ascii="Aptos" w:hAnsi="Aptos"/>
                <w:b w:val="0"/>
                <w:sz w:val="15"/>
              </w:rPr>
              <w:t>5</w:t>
            </w:r>
          </w:p>
        </w:tc>
        <w:tc>
          <w:tcPr>
            <w:tcW w:type="dxa" w:w="1452"/>
            <w:vAlign w:val="center"/>
          </w:tcPr>
          <w:p>
            <w:pPr>
              <w:spacing w:after="0"/>
            </w:pPr>
            <w:r/>
            <w:r>
              <w:rPr>
                <w:rFonts w:ascii="Aptos" w:hAnsi="Aptos"/>
                <w:b w:val="0"/>
                <w:sz w:val="15"/>
              </w:rPr>
              <w:t>0.0</w:t>
            </w:r>
          </w:p>
        </w:tc>
        <w:tc>
          <w:tcPr>
            <w:tcW w:type="dxa" w:w="1452"/>
            <w:vAlign w:val="center"/>
          </w:tcPr>
          <w:p>
            <w:pPr>
              <w:spacing w:after="0"/>
            </w:pPr>
            <w:r/>
            <w:r>
              <w:rPr>
                <w:rFonts w:ascii="Aptos" w:hAnsi="Aptos"/>
                <w:b w:val="0"/>
                <w:sz w:val="15"/>
              </w:rPr>
              <w:t>3.0</w:t>
            </w:r>
          </w:p>
        </w:tc>
        <w:tc>
          <w:tcPr>
            <w:tcW w:type="dxa" w:w="1452"/>
            <w:vAlign w:val="center"/>
          </w:tcPr>
          <w:p>
            <w:pPr>
              <w:spacing w:after="0"/>
            </w:pPr>
            <w:r/>
            <w:r>
              <w:rPr>
                <w:rFonts w:ascii="Aptos" w:hAnsi="Aptos"/>
                <w:b w:val="0"/>
                <w:sz w:val="15"/>
              </w:rPr>
              <w:t>6.77</w:t>
            </w:r>
          </w:p>
        </w:tc>
      </w:tr>
    </w:tbl>
    <w:p>
      <w:pPr>
        <w:pStyle w:val="SmallNote"/>
      </w:pPr>
      <w:r>
        <w:t>Notation note: in the Nature paper, OCR can make the Greek Delta in R + Delta look like the Latin letter D. Delta is distinct from D, the graph diameter.</w:t>
      </w:r>
    </w:p>
    <w:p>
      <w:pPr>
        <w:pStyle w:val="Heading1"/>
      </w:pPr>
      <w:r>
        <w:t>3. Independent implementation</w:t>
      </w:r>
    </w:p>
    <w:p>
      <w:r>
        <w:t>The replication code was written independently rather than copied from the authors’ original program. It tracks, for every past individual, exactly which present-day individuals descend from that person. A bit is assigned to each present-day person. Moving one generation backward, a parent receives the bitwise union of the descendant sets of every child that selected that parent.</w:t>
      </w:r>
    </w:p>
    <w:p>
      <w:r>
        <w:t>Definitions used by the program:</w:t>
      </w:r>
    </w:p>
    <w:p>
      <w:pPr>
        <w:pStyle w:val="ListBullet"/>
      </w:pPr>
      <w:r>
        <w:t>MRCA time T_N: the first past generation in which at least one individual is an ancestor of every present-day individual.</w:t>
      </w:r>
    </w:p>
    <w:p>
      <w:pPr>
        <w:pStyle w:val="ListBullet"/>
      </w:pPr>
      <w:r>
        <w:t>IA time U_N: the first past generation in which every person is either an ancestor of everyone in the present population or an ancestor of nobody in the present population.</w:t>
      </w:r>
    </w:p>
    <w:p>
      <w:pPr>
        <w:pStyle w:val="ListBullet"/>
      </w:pPr>
      <w:r>
        <w:t>Migration benchmark: for each undirected graph edge in each generation, one resident in each direction is assigned origin in the neighboring subpopulation; both parents are then sampled uniformly from that origin subpopulation. Parent choices are independent and with replacement.</w:t>
      </w:r>
    </w:p>
    <w:p>
      <w:pPr>
        <w:pStyle w:val="ListBullet"/>
      </w:pPr>
      <w:r>
        <w:t>Replicates: 100 runs for each of 4 graph structures x 5 population sizes = 2,000 independent runs, matching the published number of runs per cell.</w:t>
      </w:r>
    </w:p>
    <w:p>
      <w:pPr>
        <w:pStyle w:val="ListBullet"/>
      </w:pPr>
      <w:r>
        <w:t>Randomness: deterministic recorded seeds are used so every run can be repeated exactly.</w:t>
      </w:r>
    </w:p>
    <w:p>
      <w:r>
        <w:t>Core bookkeeping, in pseudocode:</w:t>
      </w:r>
    </w:p>
    <w:p>
      <w:pPr>
        <w:pStyle w:val="Code"/>
        <w:ind w:left="504"/>
      </w:pPr>
      <w:r>
        <w:t>descendants[present_i] = bit(i)</w:t>
      </w:r>
    </w:p>
    <w:p>
      <w:pPr>
        <w:pStyle w:val="Code"/>
        <w:ind w:left="504"/>
      </w:pPr>
      <w:r>
        <w:t>for generation = 1, 2, ...:</w:t>
      </w:r>
    </w:p>
    <w:p>
      <w:pPr>
        <w:pStyle w:val="Code"/>
        <w:ind w:left="504"/>
      </w:pPr>
      <w:r>
        <w:t xml:space="preserve">    choose two parents for each child under the graph/migration rule</w:t>
      </w:r>
    </w:p>
    <w:p>
      <w:pPr>
        <w:pStyle w:val="Code"/>
        <w:ind w:left="504"/>
      </w:pPr>
      <w:r>
        <w:t xml:space="preserve">    previous[parent1] |= descendants[child]</w:t>
      </w:r>
    </w:p>
    <w:p>
      <w:pPr>
        <w:pStyle w:val="Code"/>
        <w:ind w:left="504"/>
      </w:pPr>
      <w:r>
        <w:t xml:space="preserve">    previous[parent2] |= descendants[child]</w:t>
      </w:r>
    </w:p>
    <w:p>
      <w:pPr>
        <w:pStyle w:val="Code"/>
        <w:ind w:left="504"/>
      </w:pPr>
      <w:r>
        <w:t xml:space="preserve">    if any previous[x] == EVERYONE and T_N not set: set T_N</w:t>
      </w:r>
    </w:p>
    <w:p>
      <w:pPr>
        <w:pStyle w:val="Code"/>
        <w:ind w:left="504"/>
      </w:pPr>
      <w:r>
        <w:t xml:space="preserve">    if T_N set and every previous[x] is 0 or EVERYONE: set U_N and stop</w:t>
      </w:r>
    </w:p>
    <w:p>
      <w:pPr>
        <w:pStyle w:val="Heading1"/>
      </w:pPr>
      <w:r>
        <w:t>4. Replication of Rohde et al. Tables 1 and 2</w:t>
      </w:r>
    </w:p>
    <w:p>
      <w:r>
        <w:t>Across all 40 MRCA/IA means, the mean absolute error was 0.160 generations. MRCA RMSE was 0.174 generations; IA RMSE was 0.245 generations. The largest absolute difference was 0.51 generations. All replicated means were within one published run-level standard deviation of the published means.</w:t>
      </w:r>
    </w:p>
    <w:p>
      <w:pPr>
        <w:pStyle w:val="Heading2"/>
      </w:pPr>
      <w:r>
        <w:t>One node</w:t>
      </w:r>
    </w:p>
    <w:tbl>
      <w:tblPr>
        <w:tblStyle w:val="TableGrid"/>
        <w:tblW w:type="auto" w:w="0"/>
        <w:jc w:val="center"/>
        <w:tblLook w:firstColumn="1" w:firstRow="1" w:lastColumn="0" w:lastRow="0" w:noHBand="0" w:noVBand="1" w:val="04A0"/>
      </w:tblPr>
      <w:tblGrid>
        <w:gridCol w:w="1452"/>
        <w:gridCol w:w="1452"/>
        <w:gridCol w:w="1452"/>
        <w:gridCol w:w="1452"/>
        <w:gridCol w:w="1452"/>
        <w:gridCol w:w="1452"/>
        <w:gridCol w:w="1452"/>
      </w:tblGrid>
      <w:tr>
        <w:tc>
          <w:tcPr>
            <w:tcW w:type="dxa" w:w="1452"/>
            <w:vAlign w:val="center"/>
            <w:shd w:fill="1B2E41"/>
          </w:tcPr>
          <w:p>
            <w:pPr>
              <w:spacing w:after="0"/>
            </w:pPr>
            <w:r/>
            <w:r>
              <w:rPr>
                <w:rFonts w:ascii="Aptos" w:hAnsi="Aptos"/>
                <w:b/>
                <w:color w:val="FFFFFF"/>
                <w:sz w:val="15"/>
              </w:rPr>
              <w:t>N</w:t>
            </w:r>
          </w:p>
        </w:tc>
        <w:tc>
          <w:tcPr>
            <w:tcW w:type="dxa" w:w="1452"/>
            <w:vAlign w:val="center"/>
            <w:shd w:fill="1B2E41"/>
          </w:tcPr>
          <w:p>
            <w:pPr>
              <w:spacing w:after="0"/>
            </w:pPr>
            <w:r/>
            <w:r>
              <w:rPr>
                <w:rFonts w:ascii="Aptos" w:hAnsi="Aptos"/>
                <w:b/>
                <w:color w:val="FFFFFF"/>
                <w:sz w:val="15"/>
              </w:rPr>
              <w:t>T pub</w:t>
            </w:r>
          </w:p>
        </w:tc>
        <w:tc>
          <w:tcPr>
            <w:tcW w:type="dxa" w:w="1452"/>
            <w:vAlign w:val="center"/>
            <w:shd w:fill="1B2E41"/>
          </w:tcPr>
          <w:p>
            <w:pPr>
              <w:spacing w:after="0"/>
            </w:pPr>
            <w:r/>
            <w:r>
              <w:rPr>
                <w:rFonts w:ascii="Aptos" w:hAnsi="Aptos"/>
                <w:b/>
                <w:color w:val="FFFFFF"/>
                <w:sz w:val="15"/>
              </w:rPr>
              <w:t>T repl</w:t>
            </w:r>
          </w:p>
        </w:tc>
        <w:tc>
          <w:tcPr>
            <w:tcW w:type="dxa" w:w="1452"/>
            <w:vAlign w:val="center"/>
            <w:shd w:fill="1B2E41"/>
          </w:tcPr>
          <w:p>
            <w:pPr>
              <w:spacing w:after="0"/>
            </w:pPr>
            <w:r/>
            <w:r>
              <w:rPr>
                <w:rFonts w:ascii="Aptos" w:hAnsi="Aptos"/>
                <w:b/>
                <w:color w:val="FFFFFF"/>
                <w:sz w:val="15"/>
              </w:rPr>
              <w:t>ΔT</w:t>
            </w:r>
          </w:p>
        </w:tc>
        <w:tc>
          <w:tcPr>
            <w:tcW w:type="dxa" w:w="1452"/>
            <w:vAlign w:val="center"/>
            <w:shd w:fill="1B2E41"/>
          </w:tcPr>
          <w:p>
            <w:pPr>
              <w:spacing w:after="0"/>
            </w:pPr>
            <w:r/>
            <w:r>
              <w:rPr>
                <w:rFonts w:ascii="Aptos" w:hAnsi="Aptos"/>
                <w:b/>
                <w:color w:val="FFFFFF"/>
                <w:sz w:val="15"/>
              </w:rPr>
              <w:t>U pub</w:t>
            </w:r>
          </w:p>
        </w:tc>
        <w:tc>
          <w:tcPr>
            <w:tcW w:type="dxa" w:w="1452"/>
            <w:vAlign w:val="center"/>
            <w:shd w:fill="1B2E41"/>
          </w:tcPr>
          <w:p>
            <w:pPr>
              <w:spacing w:after="0"/>
            </w:pPr>
            <w:r/>
            <w:r>
              <w:rPr>
                <w:rFonts w:ascii="Aptos" w:hAnsi="Aptos"/>
                <w:b/>
                <w:color w:val="FFFFFF"/>
                <w:sz w:val="15"/>
              </w:rPr>
              <w:t>U repl</w:t>
            </w:r>
          </w:p>
        </w:tc>
        <w:tc>
          <w:tcPr>
            <w:tcW w:type="dxa" w:w="1452"/>
            <w:vAlign w:val="center"/>
            <w:shd w:fill="1B2E41"/>
          </w:tcPr>
          <w:p>
            <w:pPr>
              <w:spacing w:after="0"/>
            </w:pPr>
            <w:r/>
            <w:r>
              <w:rPr>
                <w:rFonts w:ascii="Aptos" w:hAnsi="Aptos"/>
                <w:b/>
                <w:color w:val="FFFFFF"/>
                <w:sz w:val="15"/>
              </w:rPr>
              <w:t>ΔU</w:t>
            </w:r>
          </w:p>
        </w:tc>
      </w:tr>
      <w:tr>
        <w:tc>
          <w:tcPr>
            <w:tcW w:type="dxa" w:w="1452"/>
            <w:vAlign w:val="center"/>
          </w:tcPr>
          <w:p>
            <w:pPr>
              <w:spacing w:after="0"/>
            </w:pPr>
            <w:r/>
            <w:r>
              <w:rPr>
                <w:rFonts w:ascii="Aptos" w:hAnsi="Aptos"/>
                <w:b w:val="0"/>
                <w:sz w:val="15"/>
              </w:rPr>
              <w:t>1000</w:t>
            </w:r>
          </w:p>
        </w:tc>
        <w:tc>
          <w:tcPr>
            <w:tcW w:type="dxa" w:w="1452"/>
            <w:vAlign w:val="center"/>
          </w:tcPr>
          <w:p>
            <w:pPr>
              <w:spacing w:after="0"/>
            </w:pPr>
            <w:r/>
            <w:r>
              <w:rPr>
                <w:rFonts w:ascii="Aptos" w:hAnsi="Aptos"/>
                <w:b w:val="0"/>
                <w:sz w:val="15"/>
              </w:rPr>
              <w:t>10.8</w:t>
            </w:r>
          </w:p>
        </w:tc>
        <w:tc>
          <w:tcPr>
            <w:tcW w:type="dxa" w:w="1452"/>
            <w:vAlign w:val="center"/>
          </w:tcPr>
          <w:p>
            <w:pPr>
              <w:spacing w:after="0"/>
            </w:pPr>
            <w:r/>
            <w:r>
              <w:rPr>
                <w:rFonts w:ascii="Aptos" w:hAnsi="Aptos"/>
                <w:b w:val="0"/>
                <w:sz w:val="15"/>
              </w:rPr>
              <w:t>10.71</w:t>
            </w:r>
          </w:p>
        </w:tc>
        <w:tc>
          <w:tcPr>
            <w:tcW w:type="dxa" w:w="1452"/>
            <w:vAlign w:val="center"/>
          </w:tcPr>
          <w:p>
            <w:pPr>
              <w:spacing w:after="0"/>
            </w:pPr>
            <w:r/>
            <w:r>
              <w:rPr>
                <w:rFonts w:ascii="Aptos" w:hAnsi="Aptos"/>
                <w:b w:val="0"/>
                <w:sz w:val="15"/>
              </w:rPr>
              <w:t>-0.09</w:t>
            </w:r>
          </w:p>
        </w:tc>
        <w:tc>
          <w:tcPr>
            <w:tcW w:type="dxa" w:w="1452"/>
            <w:vAlign w:val="center"/>
          </w:tcPr>
          <w:p>
            <w:pPr>
              <w:spacing w:after="0"/>
            </w:pPr>
            <w:r/>
            <w:r>
              <w:rPr>
                <w:rFonts w:ascii="Aptos" w:hAnsi="Aptos"/>
                <w:b w:val="0"/>
                <w:sz w:val="15"/>
              </w:rPr>
              <w:t>20.8</w:t>
            </w:r>
          </w:p>
        </w:tc>
        <w:tc>
          <w:tcPr>
            <w:tcW w:type="dxa" w:w="1452"/>
            <w:vAlign w:val="center"/>
          </w:tcPr>
          <w:p>
            <w:pPr>
              <w:spacing w:after="0"/>
            </w:pPr>
            <w:r/>
            <w:r>
              <w:rPr>
                <w:rFonts w:ascii="Aptos" w:hAnsi="Aptos"/>
                <w:b w:val="0"/>
                <w:sz w:val="15"/>
              </w:rPr>
              <w:t>21.12</w:t>
            </w:r>
          </w:p>
        </w:tc>
        <w:tc>
          <w:tcPr>
            <w:tcW w:type="dxa" w:w="1452"/>
            <w:vAlign w:val="center"/>
          </w:tcPr>
          <w:p>
            <w:pPr>
              <w:spacing w:after="0"/>
            </w:pPr>
            <w:r/>
            <w:r>
              <w:rPr>
                <w:rFonts w:ascii="Aptos" w:hAnsi="Aptos"/>
                <w:b w:val="0"/>
                <w:sz w:val="15"/>
              </w:rPr>
              <w:t>+0.32</w:t>
            </w:r>
          </w:p>
        </w:tc>
      </w:tr>
      <w:tr>
        <w:tc>
          <w:tcPr>
            <w:tcW w:type="dxa" w:w="1452"/>
            <w:vAlign w:val="center"/>
          </w:tcPr>
          <w:p>
            <w:pPr>
              <w:spacing w:after="0"/>
            </w:pPr>
            <w:r/>
            <w:r>
              <w:rPr>
                <w:rFonts w:ascii="Aptos" w:hAnsi="Aptos"/>
                <w:b w:val="0"/>
                <w:sz w:val="15"/>
              </w:rPr>
              <w:t>2000</w:t>
            </w:r>
          </w:p>
        </w:tc>
        <w:tc>
          <w:tcPr>
            <w:tcW w:type="dxa" w:w="1452"/>
            <w:vAlign w:val="center"/>
          </w:tcPr>
          <w:p>
            <w:pPr>
              <w:spacing w:after="0"/>
            </w:pPr>
            <w:r/>
            <w:r>
              <w:rPr>
                <w:rFonts w:ascii="Aptos" w:hAnsi="Aptos"/>
                <w:b w:val="0"/>
                <w:sz w:val="15"/>
              </w:rPr>
              <w:t>11.8</w:t>
            </w:r>
          </w:p>
        </w:tc>
        <w:tc>
          <w:tcPr>
            <w:tcW w:type="dxa" w:w="1452"/>
            <w:vAlign w:val="center"/>
          </w:tcPr>
          <w:p>
            <w:pPr>
              <w:spacing w:after="0"/>
            </w:pPr>
            <w:r/>
            <w:r>
              <w:rPr>
                <w:rFonts w:ascii="Aptos" w:hAnsi="Aptos"/>
                <w:b w:val="0"/>
                <w:sz w:val="15"/>
              </w:rPr>
              <w:t>11.75</w:t>
            </w:r>
          </w:p>
        </w:tc>
        <w:tc>
          <w:tcPr>
            <w:tcW w:type="dxa" w:w="1452"/>
            <w:vAlign w:val="center"/>
          </w:tcPr>
          <w:p>
            <w:pPr>
              <w:spacing w:after="0"/>
            </w:pPr>
            <w:r/>
            <w:r>
              <w:rPr>
                <w:rFonts w:ascii="Aptos" w:hAnsi="Aptos"/>
                <w:b w:val="0"/>
                <w:sz w:val="15"/>
              </w:rPr>
              <w:t>-0.05</w:t>
            </w:r>
          </w:p>
        </w:tc>
        <w:tc>
          <w:tcPr>
            <w:tcW w:type="dxa" w:w="1452"/>
            <w:vAlign w:val="center"/>
          </w:tcPr>
          <w:p>
            <w:pPr>
              <w:spacing w:after="0"/>
            </w:pPr>
            <w:r/>
            <w:r>
              <w:rPr>
                <w:rFonts w:ascii="Aptos" w:hAnsi="Aptos"/>
                <w:b w:val="0"/>
                <w:sz w:val="15"/>
              </w:rPr>
              <w:t>22.6</w:t>
            </w:r>
          </w:p>
        </w:tc>
        <w:tc>
          <w:tcPr>
            <w:tcW w:type="dxa" w:w="1452"/>
            <w:vAlign w:val="center"/>
          </w:tcPr>
          <w:p>
            <w:pPr>
              <w:spacing w:after="0"/>
            </w:pPr>
            <w:r/>
            <w:r>
              <w:rPr>
                <w:rFonts w:ascii="Aptos" w:hAnsi="Aptos"/>
                <w:b w:val="0"/>
                <w:sz w:val="15"/>
              </w:rPr>
              <w:t>22.52</w:t>
            </w:r>
          </w:p>
        </w:tc>
        <w:tc>
          <w:tcPr>
            <w:tcW w:type="dxa" w:w="1452"/>
            <w:vAlign w:val="center"/>
          </w:tcPr>
          <w:p>
            <w:pPr>
              <w:spacing w:after="0"/>
            </w:pPr>
            <w:r/>
            <w:r>
              <w:rPr>
                <w:rFonts w:ascii="Aptos" w:hAnsi="Aptos"/>
                <w:b w:val="0"/>
                <w:sz w:val="15"/>
              </w:rPr>
              <w:t>-0.08</w:t>
            </w:r>
          </w:p>
        </w:tc>
      </w:tr>
      <w:tr>
        <w:tc>
          <w:tcPr>
            <w:tcW w:type="dxa" w:w="1452"/>
            <w:vAlign w:val="center"/>
          </w:tcPr>
          <w:p>
            <w:pPr>
              <w:spacing w:after="0"/>
            </w:pPr>
            <w:r/>
            <w:r>
              <w:rPr>
                <w:rFonts w:ascii="Aptos" w:hAnsi="Aptos"/>
                <w:b w:val="0"/>
                <w:sz w:val="15"/>
              </w:rPr>
              <w:t>4000</w:t>
            </w:r>
          </w:p>
        </w:tc>
        <w:tc>
          <w:tcPr>
            <w:tcW w:type="dxa" w:w="1452"/>
            <w:vAlign w:val="center"/>
          </w:tcPr>
          <w:p>
            <w:pPr>
              <w:spacing w:after="0"/>
            </w:pPr>
            <w:r/>
            <w:r>
              <w:rPr>
                <w:rFonts w:ascii="Aptos" w:hAnsi="Aptos"/>
                <w:b w:val="0"/>
                <w:sz w:val="15"/>
              </w:rPr>
              <w:t>12.8</w:t>
            </w:r>
          </w:p>
        </w:tc>
        <w:tc>
          <w:tcPr>
            <w:tcW w:type="dxa" w:w="1452"/>
            <w:vAlign w:val="center"/>
          </w:tcPr>
          <w:p>
            <w:pPr>
              <w:spacing w:after="0"/>
            </w:pPr>
            <w:r/>
            <w:r>
              <w:rPr>
                <w:rFonts w:ascii="Aptos" w:hAnsi="Aptos"/>
                <w:b w:val="0"/>
                <w:sz w:val="15"/>
              </w:rPr>
              <w:t>12.85</w:t>
            </w:r>
          </w:p>
        </w:tc>
        <w:tc>
          <w:tcPr>
            <w:tcW w:type="dxa" w:w="1452"/>
            <w:vAlign w:val="center"/>
          </w:tcPr>
          <w:p>
            <w:pPr>
              <w:spacing w:after="0"/>
            </w:pPr>
            <w:r/>
            <w:r>
              <w:rPr>
                <w:rFonts w:ascii="Aptos" w:hAnsi="Aptos"/>
                <w:b w:val="0"/>
                <w:sz w:val="15"/>
              </w:rPr>
              <w:t>+0.05</w:t>
            </w:r>
          </w:p>
        </w:tc>
        <w:tc>
          <w:tcPr>
            <w:tcW w:type="dxa" w:w="1452"/>
            <w:vAlign w:val="center"/>
          </w:tcPr>
          <w:p>
            <w:pPr>
              <w:spacing w:after="0"/>
            </w:pPr>
            <w:r/>
            <w:r>
              <w:rPr>
                <w:rFonts w:ascii="Aptos" w:hAnsi="Aptos"/>
                <w:b w:val="0"/>
                <w:sz w:val="15"/>
              </w:rPr>
              <w:t>24.6</w:t>
            </w:r>
          </w:p>
        </w:tc>
        <w:tc>
          <w:tcPr>
            <w:tcW w:type="dxa" w:w="1452"/>
            <w:vAlign w:val="center"/>
          </w:tcPr>
          <w:p>
            <w:pPr>
              <w:spacing w:after="0"/>
            </w:pPr>
            <w:r/>
            <w:r>
              <w:rPr>
                <w:rFonts w:ascii="Aptos" w:hAnsi="Aptos"/>
                <w:b w:val="0"/>
                <w:sz w:val="15"/>
              </w:rPr>
              <w:t>24.59</w:t>
            </w:r>
          </w:p>
        </w:tc>
        <w:tc>
          <w:tcPr>
            <w:tcW w:type="dxa" w:w="1452"/>
            <w:vAlign w:val="center"/>
          </w:tcPr>
          <w:p>
            <w:pPr>
              <w:spacing w:after="0"/>
            </w:pPr>
            <w:r/>
            <w:r>
              <w:rPr>
                <w:rFonts w:ascii="Aptos" w:hAnsi="Aptos"/>
                <w:b w:val="0"/>
                <w:sz w:val="15"/>
              </w:rPr>
              <w:t>-0.01</w:t>
            </w:r>
          </w:p>
        </w:tc>
      </w:tr>
      <w:tr>
        <w:tc>
          <w:tcPr>
            <w:tcW w:type="dxa" w:w="1452"/>
            <w:vAlign w:val="center"/>
          </w:tcPr>
          <w:p>
            <w:pPr>
              <w:spacing w:after="0"/>
            </w:pPr>
            <w:r/>
            <w:r>
              <w:rPr>
                <w:rFonts w:ascii="Aptos" w:hAnsi="Aptos"/>
                <w:b w:val="0"/>
                <w:sz w:val="15"/>
              </w:rPr>
              <w:t>8000</w:t>
            </w:r>
          </w:p>
        </w:tc>
        <w:tc>
          <w:tcPr>
            <w:tcW w:type="dxa" w:w="1452"/>
            <w:vAlign w:val="center"/>
          </w:tcPr>
          <w:p>
            <w:pPr>
              <w:spacing w:after="0"/>
            </w:pPr>
            <w:r/>
            <w:r>
              <w:rPr>
                <w:rFonts w:ascii="Aptos" w:hAnsi="Aptos"/>
                <w:b w:val="0"/>
                <w:sz w:val="15"/>
              </w:rPr>
              <w:t>13.9</w:t>
            </w:r>
          </w:p>
        </w:tc>
        <w:tc>
          <w:tcPr>
            <w:tcW w:type="dxa" w:w="1452"/>
            <w:vAlign w:val="center"/>
          </w:tcPr>
          <w:p>
            <w:pPr>
              <w:spacing w:after="0"/>
            </w:pPr>
            <w:r/>
            <w:r>
              <w:rPr>
                <w:rFonts w:ascii="Aptos" w:hAnsi="Aptos"/>
                <w:b w:val="0"/>
                <w:sz w:val="15"/>
              </w:rPr>
              <w:t>13.85</w:t>
            </w:r>
          </w:p>
        </w:tc>
        <w:tc>
          <w:tcPr>
            <w:tcW w:type="dxa" w:w="1452"/>
            <w:vAlign w:val="center"/>
          </w:tcPr>
          <w:p>
            <w:pPr>
              <w:spacing w:after="0"/>
            </w:pPr>
            <w:r/>
            <w:r>
              <w:rPr>
                <w:rFonts w:ascii="Aptos" w:hAnsi="Aptos"/>
                <w:b w:val="0"/>
                <w:sz w:val="15"/>
              </w:rPr>
              <w:t>-0.05</w:t>
            </w:r>
          </w:p>
        </w:tc>
        <w:tc>
          <w:tcPr>
            <w:tcW w:type="dxa" w:w="1452"/>
            <w:vAlign w:val="center"/>
          </w:tcPr>
          <w:p>
            <w:pPr>
              <w:spacing w:after="0"/>
            </w:pPr>
            <w:r/>
            <w:r>
              <w:rPr>
                <w:rFonts w:ascii="Aptos" w:hAnsi="Aptos"/>
                <w:b w:val="0"/>
                <w:sz w:val="15"/>
              </w:rPr>
              <w:t>26.5</w:t>
            </w:r>
          </w:p>
        </w:tc>
        <w:tc>
          <w:tcPr>
            <w:tcW w:type="dxa" w:w="1452"/>
            <w:vAlign w:val="center"/>
          </w:tcPr>
          <w:p>
            <w:pPr>
              <w:spacing w:after="0"/>
            </w:pPr>
            <w:r/>
            <w:r>
              <w:rPr>
                <w:rFonts w:ascii="Aptos" w:hAnsi="Aptos"/>
                <w:b w:val="0"/>
                <w:sz w:val="15"/>
              </w:rPr>
              <w:t>26.47</w:t>
            </w:r>
          </w:p>
        </w:tc>
        <w:tc>
          <w:tcPr>
            <w:tcW w:type="dxa" w:w="1452"/>
            <w:vAlign w:val="center"/>
          </w:tcPr>
          <w:p>
            <w:pPr>
              <w:spacing w:after="0"/>
            </w:pPr>
            <w:r/>
            <w:r>
              <w:rPr>
                <w:rFonts w:ascii="Aptos" w:hAnsi="Aptos"/>
                <w:b w:val="0"/>
                <w:sz w:val="15"/>
              </w:rPr>
              <w:t>-0.03</w:t>
            </w:r>
          </w:p>
        </w:tc>
      </w:tr>
      <w:tr>
        <w:tc>
          <w:tcPr>
            <w:tcW w:type="dxa" w:w="1452"/>
            <w:vAlign w:val="center"/>
          </w:tcPr>
          <w:p>
            <w:pPr>
              <w:spacing w:after="0"/>
            </w:pPr>
            <w:r/>
            <w:r>
              <w:rPr>
                <w:rFonts w:ascii="Aptos" w:hAnsi="Aptos"/>
                <w:b w:val="0"/>
                <w:sz w:val="15"/>
              </w:rPr>
              <w:t>16000</w:t>
            </w:r>
          </w:p>
        </w:tc>
        <w:tc>
          <w:tcPr>
            <w:tcW w:type="dxa" w:w="1452"/>
            <w:vAlign w:val="center"/>
          </w:tcPr>
          <w:p>
            <w:pPr>
              <w:spacing w:after="0"/>
            </w:pPr>
            <w:r/>
            <w:r>
              <w:rPr>
                <w:rFonts w:ascii="Aptos" w:hAnsi="Aptos"/>
                <w:b w:val="0"/>
                <w:sz w:val="15"/>
              </w:rPr>
              <w:t>14.8</w:t>
            </w:r>
          </w:p>
        </w:tc>
        <w:tc>
          <w:tcPr>
            <w:tcW w:type="dxa" w:w="1452"/>
            <w:vAlign w:val="center"/>
          </w:tcPr>
          <w:p>
            <w:pPr>
              <w:spacing w:after="0"/>
            </w:pPr>
            <w:r/>
            <w:r>
              <w:rPr>
                <w:rFonts w:ascii="Aptos" w:hAnsi="Aptos"/>
                <w:b w:val="0"/>
                <w:sz w:val="15"/>
              </w:rPr>
              <w:t>14.96</w:t>
            </w:r>
          </w:p>
        </w:tc>
        <w:tc>
          <w:tcPr>
            <w:tcW w:type="dxa" w:w="1452"/>
            <w:vAlign w:val="center"/>
          </w:tcPr>
          <w:p>
            <w:pPr>
              <w:spacing w:after="0"/>
            </w:pPr>
            <w:r/>
            <w:r>
              <w:rPr>
                <w:rFonts w:ascii="Aptos" w:hAnsi="Aptos"/>
                <w:b w:val="0"/>
                <w:sz w:val="15"/>
              </w:rPr>
              <w:t>+0.16</w:t>
            </w:r>
          </w:p>
        </w:tc>
        <w:tc>
          <w:tcPr>
            <w:tcW w:type="dxa" w:w="1452"/>
            <w:vAlign w:val="center"/>
          </w:tcPr>
          <w:p>
            <w:pPr>
              <w:spacing w:after="0"/>
            </w:pPr>
            <w:r/>
            <w:r>
              <w:rPr>
                <w:rFonts w:ascii="Aptos" w:hAnsi="Aptos"/>
                <w:b w:val="0"/>
                <w:sz w:val="15"/>
              </w:rPr>
              <w:t>28.3</w:t>
            </w:r>
          </w:p>
        </w:tc>
        <w:tc>
          <w:tcPr>
            <w:tcW w:type="dxa" w:w="1452"/>
            <w:vAlign w:val="center"/>
          </w:tcPr>
          <w:p>
            <w:pPr>
              <w:spacing w:after="0"/>
            </w:pPr>
            <w:r/>
            <w:r>
              <w:rPr>
                <w:rFonts w:ascii="Aptos" w:hAnsi="Aptos"/>
                <w:b w:val="0"/>
                <w:sz w:val="15"/>
              </w:rPr>
              <w:t>28.28</w:t>
            </w:r>
          </w:p>
        </w:tc>
        <w:tc>
          <w:tcPr>
            <w:tcW w:type="dxa" w:w="1452"/>
            <w:vAlign w:val="center"/>
          </w:tcPr>
          <w:p>
            <w:pPr>
              <w:spacing w:after="0"/>
            </w:pPr>
            <w:r/>
            <w:r>
              <w:rPr>
                <w:rFonts w:ascii="Aptos" w:hAnsi="Aptos"/>
                <w:b w:val="0"/>
                <w:sz w:val="15"/>
              </w:rPr>
              <w:t>-0.02</w:t>
            </w:r>
          </w:p>
        </w:tc>
      </w:tr>
    </w:tbl>
    <w:p>
      <w:pPr>
        <w:pStyle w:val="SmallNote"/>
      </w:pPr>
      <w:r>
        <w:t>Published values are means from Rohde et al.; standard deviations are available in the machine-readable CSV and original Tables 1-2. Replication uses 100 new runs per cell.</w:t>
      </w:r>
    </w:p>
    <w:p>
      <w:pPr>
        <w:pStyle w:val="Heading2"/>
      </w:pPr>
      <w:r>
        <w:t>Three fully connected nodes</w:t>
      </w:r>
    </w:p>
    <w:tbl>
      <w:tblPr>
        <w:tblStyle w:val="TableGrid"/>
        <w:tblW w:type="auto" w:w="0"/>
        <w:jc w:val="center"/>
        <w:tblLook w:firstColumn="1" w:firstRow="1" w:lastColumn="0" w:lastRow="0" w:noHBand="0" w:noVBand="1" w:val="04A0"/>
      </w:tblPr>
      <w:tblGrid>
        <w:gridCol w:w="1452"/>
        <w:gridCol w:w="1452"/>
        <w:gridCol w:w="1452"/>
        <w:gridCol w:w="1452"/>
        <w:gridCol w:w="1452"/>
        <w:gridCol w:w="1452"/>
        <w:gridCol w:w="1452"/>
      </w:tblGrid>
      <w:tr>
        <w:tc>
          <w:tcPr>
            <w:tcW w:type="dxa" w:w="1452"/>
            <w:vAlign w:val="center"/>
            <w:shd w:fill="1B2E41"/>
          </w:tcPr>
          <w:p>
            <w:pPr>
              <w:spacing w:after="0"/>
            </w:pPr>
            <w:r/>
            <w:r>
              <w:rPr>
                <w:rFonts w:ascii="Aptos" w:hAnsi="Aptos"/>
                <w:b/>
                <w:color w:val="FFFFFF"/>
                <w:sz w:val="15"/>
              </w:rPr>
              <w:t>N</w:t>
            </w:r>
          </w:p>
        </w:tc>
        <w:tc>
          <w:tcPr>
            <w:tcW w:type="dxa" w:w="1452"/>
            <w:vAlign w:val="center"/>
            <w:shd w:fill="1B2E41"/>
          </w:tcPr>
          <w:p>
            <w:pPr>
              <w:spacing w:after="0"/>
            </w:pPr>
            <w:r/>
            <w:r>
              <w:rPr>
                <w:rFonts w:ascii="Aptos" w:hAnsi="Aptos"/>
                <w:b/>
                <w:color w:val="FFFFFF"/>
                <w:sz w:val="15"/>
              </w:rPr>
              <w:t>T pub</w:t>
            </w:r>
          </w:p>
        </w:tc>
        <w:tc>
          <w:tcPr>
            <w:tcW w:type="dxa" w:w="1452"/>
            <w:vAlign w:val="center"/>
            <w:shd w:fill="1B2E41"/>
          </w:tcPr>
          <w:p>
            <w:pPr>
              <w:spacing w:after="0"/>
            </w:pPr>
            <w:r/>
            <w:r>
              <w:rPr>
                <w:rFonts w:ascii="Aptos" w:hAnsi="Aptos"/>
                <w:b/>
                <w:color w:val="FFFFFF"/>
                <w:sz w:val="15"/>
              </w:rPr>
              <w:t>T repl</w:t>
            </w:r>
          </w:p>
        </w:tc>
        <w:tc>
          <w:tcPr>
            <w:tcW w:type="dxa" w:w="1452"/>
            <w:vAlign w:val="center"/>
            <w:shd w:fill="1B2E41"/>
          </w:tcPr>
          <w:p>
            <w:pPr>
              <w:spacing w:after="0"/>
            </w:pPr>
            <w:r/>
            <w:r>
              <w:rPr>
                <w:rFonts w:ascii="Aptos" w:hAnsi="Aptos"/>
                <w:b/>
                <w:color w:val="FFFFFF"/>
                <w:sz w:val="15"/>
              </w:rPr>
              <w:t>ΔT</w:t>
            </w:r>
          </w:p>
        </w:tc>
        <w:tc>
          <w:tcPr>
            <w:tcW w:type="dxa" w:w="1452"/>
            <w:vAlign w:val="center"/>
            <w:shd w:fill="1B2E41"/>
          </w:tcPr>
          <w:p>
            <w:pPr>
              <w:spacing w:after="0"/>
            </w:pPr>
            <w:r/>
            <w:r>
              <w:rPr>
                <w:rFonts w:ascii="Aptos" w:hAnsi="Aptos"/>
                <w:b/>
                <w:color w:val="FFFFFF"/>
                <w:sz w:val="15"/>
              </w:rPr>
              <w:t>U pub</w:t>
            </w:r>
          </w:p>
        </w:tc>
        <w:tc>
          <w:tcPr>
            <w:tcW w:type="dxa" w:w="1452"/>
            <w:vAlign w:val="center"/>
            <w:shd w:fill="1B2E41"/>
          </w:tcPr>
          <w:p>
            <w:pPr>
              <w:spacing w:after="0"/>
            </w:pPr>
            <w:r/>
            <w:r>
              <w:rPr>
                <w:rFonts w:ascii="Aptos" w:hAnsi="Aptos"/>
                <w:b/>
                <w:color w:val="FFFFFF"/>
                <w:sz w:val="15"/>
              </w:rPr>
              <w:t>U repl</w:t>
            </w:r>
          </w:p>
        </w:tc>
        <w:tc>
          <w:tcPr>
            <w:tcW w:type="dxa" w:w="1452"/>
            <w:vAlign w:val="center"/>
            <w:shd w:fill="1B2E41"/>
          </w:tcPr>
          <w:p>
            <w:pPr>
              <w:spacing w:after="0"/>
            </w:pPr>
            <w:r/>
            <w:r>
              <w:rPr>
                <w:rFonts w:ascii="Aptos" w:hAnsi="Aptos"/>
                <w:b/>
                <w:color w:val="FFFFFF"/>
                <w:sz w:val="15"/>
              </w:rPr>
              <w:t>ΔU</w:t>
            </w:r>
          </w:p>
        </w:tc>
      </w:tr>
      <w:tr>
        <w:tc>
          <w:tcPr>
            <w:tcW w:type="dxa" w:w="1452"/>
            <w:vAlign w:val="center"/>
          </w:tcPr>
          <w:p>
            <w:pPr>
              <w:spacing w:after="0"/>
            </w:pPr>
            <w:r/>
            <w:r>
              <w:rPr>
                <w:rFonts w:ascii="Aptos" w:hAnsi="Aptos"/>
                <w:b w:val="0"/>
                <w:sz w:val="15"/>
              </w:rPr>
              <w:t>1000</w:t>
            </w:r>
          </w:p>
        </w:tc>
        <w:tc>
          <w:tcPr>
            <w:tcW w:type="dxa" w:w="1452"/>
            <w:vAlign w:val="center"/>
          </w:tcPr>
          <w:p>
            <w:pPr>
              <w:spacing w:after="0"/>
            </w:pPr>
            <w:r/>
            <w:r>
              <w:rPr>
                <w:rFonts w:ascii="Aptos" w:hAnsi="Aptos"/>
                <w:b w:val="0"/>
                <w:sz w:val="15"/>
              </w:rPr>
              <w:t>14.0</w:t>
            </w:r>
          </w:p>
        </w:tc>
        <w:tc>
          <w:tcPr>
            <w:tcW w:type="dxa" w:w="1452"/>
            <w:vAlign w:val="center"/>
          </w:tcPr>
          <w:p>
            <w:pPr>
              <w:spacing w:after="0"/>
            </w:pPr>
            <w:r/>
            <w:r>
              <w:rPr>
                <w:rFonts w:ascii="Aptos" w:hAnsi="Aptos"/>
                <w:b w:val="0"/>
                <w:sz w:val="15"/>
              </w:rPr>
              <w:t>13.91</w:t>
            </w:r>
          </w:p>
        </w:tc>
        <w:tc>
          <w:tcPr>
            <w:tcW w:type="dxa" w:w="1452"/>
            <w:vAlign w:val="center"/>
          </w:tcPr>
          <w:p>
            <w:pPr>
              <w:spacing w:after="0"/>
            </w:pPr>
            <w:r/>
            <w:r>
              <w:rPr>
                <w:rFonts w:ascii="Aptos" w:hAnsi="Aptos"/>
                <w:b w:val="0"/>
                <w:sz w:val="15"/>
              </w:rPr>
              <w:t>-0.09</w:t>
            </w:r>
          </w:p>
        </w:tc>
        <w:tc>
          <w:tcPr>
            <w:tcW w:type="dxa" w:w="1452"/>
            <w:vAlign w:val="center"/>
          </w:tcPr>
          <w:p>
            <w:pPr>
              <w:spacing w:after="0"/>
            </w:pPr>
            <w:r/>
            <w:r>
              <w:rPr>
                <w:rFonts w:ascii="Aptos" w:hAnsi="Aptos"/>
                <w:b w:val="0"/>
                <w:sz w:val="15"/>
              </w:rPr>
              <w:t>27.4</w:t>
            </w:r>
          </w:p>
        </w:tc>
        <w:tc>
          <w:tcPr>
            <w:tcW w:type="dxa" w:w="1452"/>
            <w:vAlign w:val="center"/>
          </w:tcPr>
          <w:p>
            <w:pPr>
              <w:spacing w:after="0"/>
            </w:pPr>
            <w:r/>
            <w:r>
              <w:rPr>
                <w:rFonts w:ascii="Aptos" w:hAnsi="Aptos"/>
                <w:b w:val="0"/>
                <w:sz w:val="15"/>
              </w:rPr>
              <w:t>27.15</w:t>
            </w:r>
          </w:p>
        </w:tc>
        <w:tc>
          <w:tcPr>
            <w:tcW w:type="dxa" w:w="1452"/>
            <w:vAlign w:val="center"/>
          </w:tcPr>
          <w:p>
            <w:pPr>
              <w:spacing w:after="0"/>
            </w:pPr>
            <w:r/>
            <w:r>
              <w:rPr>
                <w:rFonts w:ascii="Aptos" w:hAnsi="Aptos"/>
                <w:b w:val="0"/>
                <w:sz w:val="15"/>
              </w:rPr>
              <w:t>-0.25</w:t>
            </w:r>
          </w:p>
        </w:tc>
      </w:tr>
      <w:tr>
        <w:tc>
          <w:tcPr>
            <w:tcW w:type="dxa" w:w="1452"/>
            <w:vAlign w:val="center"/>
          </w:tcPr>
          <w:p>
            <w:pPr>
              <w:spacing w:after="0"/>
            </w:pPr>
            <w:r/>
            <w:r>
              <w:rPr>
                <w:rFonts w:ascii="Aptos" w:hAnsi="Aptos"/>
                <w:b w:val="0"/>
                <w:sz w:val="15"/>
              </w:rPr>
              <w:t>2000</w:t>
            </w:r>
          </w:p>
        </w:tc>
        <w:tc>
          <w:tcPr>
            <w:tcW w:type="dxa" w:w="1452"/>
            <w:vAlign w:val="center"/>
          </w:tcPr>
          <w:p>
            <w:pPr>
              <w:spacing w:after="0"/>
            </w:pPr>
            <w:r/>
            <w:r>
              <w:rPr>
                <w:rFonts w:ascii="Aptos" w:hAnsi="Aptos"/>
                <w:b w:val="0"/>
                <w:sz w:val="15"/>
              </w:rPr>
              <w:t>15.6</w:t>
            </w:r>
          </w:p>
        </w:tc>
        <w:tc>
          <w:tcPr>
            <w:tcW w:type="dxa" w:w="1452"/>
            <w:vAlign w:val="center"/>
          </w:tcPr>
          <w:p>
            <w:pPr>
              <w:spacing w:after="0"/>
            </w:pPr>
            <w:r/>
            <w:r>
              <w:rPr>
                <w:rFonts w:ascii="Aptos" w:hAnsi="Aptos"/>
                <w:b w:val="0"/>
                <w:sz w:val="15"/>
              </w:rPr>
              <w:t>15.63</w:t>
            </w:r>
          </w:p>
        </w:tc>
        <w:tc>
          <w:tcPr>
            <w:tcW w:type="dxa" w:w="1452"/>
            <w:vAlign w:val="center"/>
          </w:tcPr>
          <w:p>
            <w:pPr>
              <w:spacing w:after="0"/>
            </w:pPr>
            <w:r/>
            <w:r>
              <w:rPr>
                <w:rFonts w:ascii="Aptos" w:hAnsi="Aptos"/>
                <w:b w:val="0"/>
                <w:sz w:val="15"/>
              </w:rPr>
              <w:t>+0.03</w:t>
            </w:r>
          </w:p>
        </w:tc>
        <w:tc>
          <w:tcPr>
            <w:tcW w:type="dxa" w:w="1452"/>
            <w:vAlign w:val="center"/>
          </w:tcPr>
          <w:p>
            <w:pPr>
              <w:spacing w:after="0"/>
            </w:pPr>
            <w:r/>
            <w:r>
              <w:rPr>
                <w:rFonts w:ascii="Aptos" w:hAnsi="Aptos"/>
                <w:b w:val="0"/>
                <w:sz w:val="15"/>
              </w:rPr>
              <w:t>30.3</w:t>
            </w:r>
          </w:p>
        </w:tc>
        <w:tc>
          <w:tcPr>
            <w:tcW w:type="dxa" w:w="1452"/>
            <w:vAlign w:val="center"/>
          </w:tcPr>
          <w:p>
            <w:pPr>
              <w:spacing w:after="0"/>
            </w:pPr>
            <w:r/>
            <w:r>
              <w:rPr>
                <w:rFonts w:ascii="Aptos" w:hAnsi="Aptos"/>
                <w:b w:val="0"/>
                <w:sz w:val="15"/>
              </w:rPr>
              <w:t>30.38</w:t>
            </w:r>
          </w:p>
        </w:tc>
        <w:tc>
          <w:tcPr>
            <w:tcW w:type="dxa" w:w="1452"/>
            <w:vAlign w:val="center"/>
          </w:tcPr>
          <w:p>
            <w:pPr>
              <w:spacing w:after="0"/>
            </w:pPr>
            <w:r/>
            <w:r>
              <w:rPr>
                <w:rFonts w:ascii="Aptos" w:hAnsi="Aptos"/>
                <w:b w:val="0"/>
                <w:sz w:val="15"/>
              </w:rPr>
              <w:t>+0.08</w:t>
            </w:r>
          </w:p>
        </w:tc>
      </w:tr>
      <w:tr>
        <w:tc>
          <w:tcPr>
            <w:tcW w:type="dxa" w:w="1452"/>
            <w:vAlign w:val="center"/>
          </w:tcPr>
          <w:p>
            <w:pPr>
              <w:spacing w:after="0"/>
            </w:pPr>
            <w:r/>
            <w:r>
              <w:rPr>
                <w:rFonts w:ascii="Aptos" w:hAnsi="Aptos"/>
                <w:b w:val="0"/>
                <w:sz w:val="15"/>
              </w:rPr>
              <w:t>4000</w:t>
            </w:r>
          </w:p>
        </w:tc>
        <w:tc>
          <w:tcPr>
            <w:tcW w:type="dxa" w:w="1452"/>
            <w:vAlign w:val="center"/>
          </w:tcPr>
          <w:p>
            <w:pPr>
              <w:spacing w:after="0"/>
            </w:pPr>
            <w:r/>
            <w:r>
              <w:rPr>
                <w:rFonts w:ascii="Aptos" w:hAnsi="Aptos"/>
                <w:b w:val="0"/>
                <w:sz w:val="15"/>
              </w:rPr>
              <w:t>17.1</w:t>
            </w:r>
          </w:p>
        </w:tc>
        <w:tc>
          <w:tcPr>
            <w:tcW w:type="dxa" w:w="1452"/>
            <w:vAlign w:val="center"/>
          </w:tcPr>
          <w:p>
            <w:pPr>
              <w:spacing w:after="0"/>
            </w:pPr>
            <w:r/>
            <w:r>
              <w:rPr>
                <w:rFonts w:ascii="Aptos" w:hAnsi="Aptos"/>
                <w:b w:val="0"/>
                <w:sz w:val="15"/>
              </w:rPr>
              <w:t>17.15</w:t>
            </w:r>
          </w:p>
        </w:tc>
        <w:tc>
          <w:tcPr>
            <w:tcW w:type="dxa" w:w="1452"/>
            <w:vAlign w:val="center"/>
          </w:tcPr>
          <w:p>
            <w:pPr>
              <w:spacing w:after="0"/>
            </w:pPr>
            <w:r/>
            <w:r>
              <w:rPr>
                <w:rFonts w:ascii="Aptos" w:hAnsi="Aptos"/>
                <w:b w:val="0"/>
                <w:sz w:val="15"/>
              </w:rPr>
              <w:t>+0.05</w:t>
            </w:r>
          </w:p>
        </w:tc>
        <w:tc>
          <w:tcPr>
            <w:tcW w:type="dxa" w:w="1452"/>
            <w:vAlign w:val="center"/>
          </w:tcPr>
          <w:p>
            <w:pPr>
              <w:spacing w:after="0"/>
            </w:pPr>
            <w:r/>
            <w:r>
              <w:rPr>
                <w:rFonts w:ascii="Aptos" w:hAnsi="Aptos"/>
                <w:b w:val="0"/>
                <w:sz w:val="15"/>
              </w:rPr>
              <w:t>33.4</w:t>
            </w:r>
          </w:p>
        </w:tc>
        <w:tc>
          <w:tcPr>
            <w:tcW w:type="dxa" w:w="1452"/>
            <w:vAlign w:val="center"/>
          </w:tcPr>
          <w:p>
            <w:pPr>
              <w:spacing w:after="0"/>
            </w:pPr>
            <w:r/>
            <w:r>
              <w:rPr>
                <w:rFonts w:ascii="Aptos" w:hAnsi="Aptos"/>
                <w:b w:val="0"/>
                <w:sz w:val="15"/>
              </w:rPr>
              <w:t>33.12</w:t>
            </w:r>
          </w:p>
        </w:tc>
        <w:tc>
          <w:tcPr>
            <w:tcW w:type="dxa" w:w="1452"/>
            <w:vAlign w:val="center"/>
          </w:tcPr>
          <w:p>
            <w:pPr>
              <w:spacing w:after="0"/>
            </w:pPr>
            <w:r/>
            <w:r>
              <w:rPr>
                <w:rFonts w:ascii="Aptos" w:hAnsi="Aptos"/>
                <w:b w:val="0"/>
                <w:sz w:val="15"/>
              </w:rPr>
              <w:t>-0.28</w:t>
            </w:r>
          </w:p>
        </w:tc>
      </w:tr>
      <w:tr>
        <w:tc>
          <w:tcPr>
            <w:tcW w:type="dxa" w:w="1452"/>
            <w:vAlign w:val="center"/>
          </w:tcPr>
          <w:p>
            <w:pPr>
              <w:spacing w:after="0"/>
            </w:pPr>
            <w:r/>
            <w:r>
              <w:rPr>
                <w:rFonts w:ascii="Aptos" w:hAnsi="Aptos"/>
                <w:b w:val="0"/>
                <w:sz w:val="15"/>
              </w:rPr>
              <w:t>8000</w:t>
            </w:r>
          </w:p>
        </w:tc>
        <w:tc>
          <w:tcPr>
            <w:tcW w:type="dxa" w:w="1452"/>
            <w:vAlign w:val="center"/>
          </w:tcPr>
          <w:p>
            <w:pPr>
              <w:spacing w:after="0"/>
            </w:pPr>
            <w:r/>
            <w:r>
              <w:rPr>
                <w:rFonts w:ascii="Aptos" w:hAnsi="Aptos"/>
                <w:b w:val="0"/>
                <w:sz w:val="15"/>
              </w:rPr>
              <w:t>18.9</w:t>
            </w:r>
          </w:p>
        </w:tc>
        <w:tc>
          <w:tcPr>
            <w:tcW w:type="dxa" w:w="1452"/>
            <w:vAlign w:val="center"/>
          </w:tcPr>
          <w:p>
            <w:pPr>
              <w:spacing w:after="0"/>
            </w:pPr>
            <w:r/>
            <w:r>
              <w:rPr>
                <w:rFonts w:ascii="Aptos" w:hAnsi="Aptos"/>
                <w:b w:val="0"/>
                <w:sz w:val="15"/>
              </w:rPr>
              <w:t>18.80</w:t>
            </w:r>
          </w:p>
        </w:tc>
        <w:tc>
          <w:tcPr>
            <w:tcW w:type="dxa" w:w="1452"/>
            <w:vAlign w:val="center"/>
          </w:tcPr>
          <w:p>
            <w:pPr>
              <w:spacing w:after="0"/>
            </w:pPr>
            <w:r/>
            <w:r>
              <w:rPr>
                <w:rFonts w:ascii="Aptos" w:hAnsi="Aptos"/>
                <w:b w:val="0"/>
                <w:sz w:val="15"/>
              </w:rPr>
              <w:t>-0.10</w:t>
            </w:r>
          </w:p>
        </w:tc>
        <w:tc>
          <w:tcPr>
            <w:tcW w:type="dxa" w:w="1452"/>
            <w:vAlign w:val="center"/>
          </w:tcPr>
          <w:p>
            <w:pPr>
              <w:spacing w:after="0"/>
            </w:pPr>
            <w:r/>
            <w:r>
              <w:rPr>
                <w:rFonts w:ascii="Aptos" w:hAnsi="Aptos"/>
                <w:b w:val="0"/>
                <w:sz w:val="15"/>
              </w:rPr>
              <w:t>36.2</w:t>
            </w:r>
          </w:p>
        </w:tc>
        <w:tc>
          <w:tcPr>
            <w:tcW w:type="dxa" w:w="1452"/>
            <w:vAlign w:val="center"/>
          </w:tcPr>
          <w:p>
            <w:pPr>
              <w:spacing w:after="0"/>
            </w:pPr>
            <w:r/>
            <w:r>
              <w:rPr>
                <w:rFonts w:ascii="Aptos" w:hAnsi="Aptos"/>
                <w:b w:val="0"/>
                <w:sz w:val="15"/>
              </w:rPr>
              <w:t>36.38</w:t>
            </w:r>
          </w:p>
        </w:tc>
        <w:tc>
          <w:tcPr>
            <w:tcW w:type="dxa" w:w="1452"/>
            <w:vAlign w:val="center"/>
          </w:tcPr>
          <w:p>
            <w:pPr>
              <w:spacing w:after="0"/>
            </w:pPr>
            <w:r/>
            <w:r>
              <w:rPr>
                <w:rFonts w:ascii="Aptos" w:hAnsi="Aptos"/>
                <w:b w:val="0"/>
                <w:sz w:val="15"/>
              </w:rPr>
              <w:t>+0.18</w:t>
            </w:r>
          </w:p>
        </w:tc>
      </w:tr>
      <w:tr>
        <w:tc>
          <w:tcPr>
            <w:tcW w:type="dxa" w:w="1452"/>
            <w:vAlign w:val="center"/>
          </w:tcPr>
          <w:p>
            <w:pPr>
              <w:spacing w:after="0"/>
            </w:pPr>
            <w:r/>
            <w:r>
              <w:rPr>
                <w:rFonts w:ascii="Aptos" w:hAnsi="Aptos"/>
                <w:b w:val="0"/>
                <w:sz w:val="15"/>
              </w:rPr>
              <w:t>16000</w:t>
            </w:r>
          </w:p>
        </w:tc>
        <w:tc>
          <w:tcPr>
            <w:tcW w:type="dxa" w:w="1452"/>
            <w:vAlign w:val="center"/>
          </w:tcPr>
          <w:p>
            <w:pPr>
              <w:spacing w:after="0"/>
            </w:pPr>
            <w:r/>
            <w:r>
              <w:rPr>
                <w:rFonts w:ascii="Aptos" w:hAnsi="Aptos"/>
                <w:b w:val="0"/>
                <w:sz w:val="15"/>
              </w:rPr>
              <w:t>20.3</w:t>
            </w:r>
          </w:p>
        </w:tc>
        <w:tc>
          <w:tcPr>
            <w:tcW w:type="dxa" w:w="1452"/>
            <w:vAlign w:val="center"/>
          </w:tcPr>
          <w:p>
            <w:pPr>
              <w:spacing w:after="0"/>
            </w:pPr>
            <w:r/>
            <w:r>
              <w:rPr>
                <w:rFonts w:ascii="Aptos" w:hAnsi="Aptos"/>
                <w:b w:val="0"/>
                <w:sz w:val="15"/>
              </w:rPr>
              <w:t>20.49</w:t>
            </w:r>
          </w:p>
        </w:tc>
        <w:tc>
          <w:tcPr>
            <w:tcW w:type="dxa" w:w="1452"/>
            <w:vAlign w:val="center"/>
          </w:tcPr>
          <w:p>
            <w:pPr>
              <w:spacing w:after="0"/>
            </w:pPr>
            <w:r/>
            <w:r>
              <w:rPr>
                <w:rFonts w:ascii="Aptos" w:hAnsi="Aptos"/>
                <w:b w:val="0"/>
                <w:sz w:val="15"/>
              </w:rPr>
              <w:t>+0.19</w:t>
            </w:r>
          </w:p>
        </w:tc>
        <w:tc>
          <w:tcPr>
            <w:tcW w:type="dxa" w:w="1452"/>
            <w:vAlign w:val="center"/>
          </w:tcPr>
          <w:p>
            <w:pPr>
              <w:spacing w:after="0"/>
            </w:pPr>
            <w:r/>
            <w:r>
              <w:rPr>
                <w:rFonts w:ascii="Aptos" w:hAnsi="Aptos"/>
                <w:b w:val="0"/>
                <w:sz w:val="15"/>
              </w:rPr>
              <w:t>38.9</w:t>
            </w:r>
          </w:p>
        </w:tc>
        <w:tc>
          <w:tcPr>
            <w:tcW w:type="dxa" w:w="1452"/>
            <w:vAlign w:val="center"/>
          </w:tcPr>
          <w:p>
            <w:pPr>
              <w:spacing w:after="0"/>
            </w:pPr>
            <w:r/>
            <w:r>
              <w:rPr>
                <w:rFonts w:ascii="Aptos" w:hAnsi="Aptos"/>
                <w:b w:val="0"/>
                <w:sz w:val="15"/>
              </w:rPr>
              <w:t>39.24</w:t>
            </w:r>
          </w:p>
        </w:tc>
        <w:tc>
          <w:tcPr>
            <w:tcW w:type="dxa" w:w="1452"/>
            <w:vAlign w:val="center"/>
          </w:tcPr>
          <w:p>
            <w:pPr>
              <w:spacing w:after="0"/>
            </w:pPr>
            <w:r/>
            <w:r>
              <w:rPr>
                <w:rFonts w:ascii="Aptos" w:hAnsi="Aptos"/>
                <w:b w:val="0"/>
                <w:sz w:val="15"/>
              </w:rPr>
              <w:t>+0.34</w:t>
            </w:r>
          </w:p>
        </w:tc>
      </w:tr>
    </w:tbl>
    <w:p>
      <w:pPr>
        <w:pStyle w:val="SmallNote"/>
      </w:pPr>
      <w:r>
        <w:t>Published values are means from Rohde et al.; standard deviations are available in the machine-readable CSV and original Tables 1-2. Replication uses 100 new runs per cell.</w:t>
      </w:r>
    </w:p>
    <w:p>
      <w:pPr>
        <w:pStyle w:val="Heading2"/>
      </w:pPr>
      <w:r>
        <w:t>Five fully connected nodes</w:t>
      </w:r>
    </w:p>
    <w:tbl>
      <w:tblPr>
        <w:tblStyle w:val="TableGrid"/>
        <w:tblW w:type="auto" w:w="0"/>
        <w:jc w:val="center"/>
        <w:tblLook w:firstColumn="1" w:firstRow="1" w:lastColumn="0" w:lastRow="0" w:noHBand="0" w:noVBand="1" w:val="04A0"/>
      </w:tblPr>
      <w:tblGrid>
        <w:gridCol w:w="1452"/>
        <w:gridCol w:w="1452"/>
        <w:gridCol w:w="1452"/>
        <w:gridCol w:w="1452"/>
        <w:gridCol w:w="1452"/>
        <w:gridCol w:w="1452"/>
        <w:gridCol w:w="1452"/>
      </w:tblGrid>
      <w:tr>
        <w:tc>
          <w:tcPr>
            <w:tcW w:type="dxa" w:w="1452"/>
            <w:vAlign w:val="center"/>
            <w:shd w:fill="1B2E41"/>
          </w:tcPr>
          <w:p>
            <w:pPr>
              <w:spacing w:after="0"/>
            </w:pPr>
            <w:r/>
            <w:r>
              <w:rPr>
                <w:rFonts w:ascii="Aptos" w:hAnsi="Aptos"/>
                <w:b/>
                <w:color w:val="FFFFFF"/>
                <w:sz w:val="15"/>
              </w:rPr>
              <w:t>N</w:t>
            </w:r>
          </w:p>
        </w:tc>
        <w:tc>
          <w:tcPr>
            <w:tcW w:type="dxa" w:w="1452"/>
            <w:vAlign w:val="center"/>
            <w:shd w:fill="1B2E41"/>
          </w:tcPr>
          <w:p>
            <w:pPr>
              <w:spacing w:after="0"/>
            </w:pPr>
            <w:r/>
            <w:r>
              <w:rPr>
                <w:rFonts w:ascii="Aptos" w:hAnsi="Aptos"/>
                <w:b/>
                <w:color w:val="FFFFFF"/>
                <w:sz w:val="15"/>
              </w:rPr>
              <w:t>T pub</w:t>
            </w:r>
          </w:p>
        </w:tc>
        <w:tc>
          <w:tcPr>
            <w:tcW w:type="dxa" w:w="1452"/>
            <w:vAlign w:val="center"/>
            <w:shd w:fill="1B2E41"/>
          </w:tcPr>
          <w:p>
            <w:pPr>
              <w:spacing w:after="0"/>
            </w:pPr>
            <w:r/>
            <w:r>
              <w:rPr>
                <w:rFonts w:ascii="Aptos" w:hAnsi="Aptos"/>
                <w:b/>
                <w:color w:val="FFFFFF"/>
                <w:sz w:val="15"/>
              </w:rPr>
              <w:t>T repl</w:t>
            </w:r>
          </w:p>
        </w:tc>
        <w:tc>
          <w:tcPr>
            <w:tcW w:type="dxa" w:w="1452"/>
            <w:vAlign w:val="center"/>
            <w:shd w:fill="1B2E41"/>
          </w:tcPr>
          <w:p>
            <w:pPr>
              <w:spacing w:after="0"/>
            </w:pPr>
            <w:r/>
            <w:r>
              <w:rPr>
                <w:rFonts w:ascii="Aptos" w:hAnsi="Aptos"/>
                <w:b/>
                <w:color w:val="FFFFFF"/>
                <w:sz w:val="15"/>
              </w:rPr>
              <w:t>ΔT</w:t>
            </w:r>
          </w:p>
        </w:tc>
        <w:tc>
          <w:tcPr>
            <w:tcW w:type="dxa" w:w="1452"/>
            <w:vAlign w:val="center"/>
            <w:shd w:fill="1B2E41"/>
          </w:tcPr>
          <w:p>
            <w:pPr>
              <w:spacing w:after="0"/>
            </w:pPr>
            <w:r/>
            <w:r>
              <w:rPr>
                <w:rFonts w:ascii="Aptos" w:hAnsi="Aptos"/>
                <w:b/>
                <w:color w:val="FFFFFF"/>
                <w:sz w:val="15"/>
              </w:rPr>
              <w:t>U pub</w:t>
            </w:r>
          </w:p>
        </w:tc>
        <w:tc>
          <w:tcPr>
            <w:tcW w:type="dxa" w:w="1452"/>
            <w:vAlign w:val="center"/>
            <w:shd w:fill="1B2E41"/>
          </w:tcPr>
          <w:p>
            <w:pPr>
              <w:spacing w:after="0"/>
            </w:pPr>
            <w:r/>
            <w:r>
              <w:rPr>
                <w:rFonts w:ascii="Aptos" w:hAnsi="Aptos"/>
                <w:b/>
                <w:color w:val="FFFFFF"/>
                <w:sz w:val="15"/>
              </w:rPr>
              <w:t>U repl</w:t>
            </w:r>
          </w:p>
        </w:tc>
        <w:tc>
          <w:tcPr>
            <w:tcW w:type="dxa" w:w="1452"/>
            <w:vAlign w:val="center"/>
            <w:shd w:fill="1B2E41"/>
          </w:tcPr>
          <w:p>
            <w:pPr>
              <w:spacing w:after="0"/>
            </w:pPr>
            <w:r/>
            <w:r>
              <w:rPr>
                <w:rFonts w:ascii="Aptos" w:hAnsi="Aptos"/>
                <w:b/>
                <w:color w:val="FFFFFF"/>
                <w:sz w:val="15"/>
              </w:rPr>
              <w:t>ΔU</w:t>
            </w:r>
          </w:p>
        </w:tc>
      </w:tr>
      <w:tr>
        <w:tc>
          <w:tcPr>
            <w:tcW w:type="dxa" w:w="1452"/>
            <w:vAlign w:val="center"/>
          </w:tcPr>
          <w:p>
            <w:pPr>
              <w:spacing w:after="0"/>
            </w:pPr>
            <w:r/>
            <w:r>
              <w:rPr>
                <w:rFonts w:ascii="Aptos" w:hAnsi="Aptos"/>
                <w:b w:val="0"/>
                <w:sz w:val="15"/>
              </w:rPr>
              <w:t>1000</w:t>
            </w:r>
          </w:p>
        </w:tc>
        <w:tc>
          <w:tcPr>
            <w:tcW w:type="dxa" w:w="1452"/>
            <w:vAlign w:val="center"/>
          </w:tcPr>
          <w:p>
            <w:pPr>
              <w:spacing w:after="0"/>
            </w:pPr>
            <w:r/>
            <w:r>
              <w:rPr>
                <w:rFonts w:ascii="Aptos" w:hAnsi="Aptos"/>
                <w:b w:val="0"/>
                <w:sz w:val="15"/>
              </w:rPr>
              <w:t>14.0</w:t>
            </w:r>
          </w:p>
        </w:tc>
        <w:tc>
          <w:tcPr>
            <w:tcW w:type="dxa" w:w="1452"/>
            <w:vAlign w:val="center"/>
          </w:tcPr>
          <w:p>
            <w:pPr>
              <w:spacing w:after="0"/>
            </w:pPr>
            <w:r/>
            <w:r>
              <w:rPr>
                <w:rFonts w:ascii="Aptos" w:hAnsi="Aptos"/>
                <w:b w:val="0"/>
                <w:sz w:val="15"/>
              </w:rPr>
              <w:t>13.95</w:t>
            </w:r>
          </w:p>
        </w:tc>
        <w:tc>
          <w:tcPr>
            <w:tcW w:type="dxa" w:w="1452"/>
            <w:vAlign w:val="center"/>
          </w:tcPr>
          <w:p>
            <w:pPr>
              <w:spacing w:after="0"/>
            </w:pPr>
            <w:r/>
            <w:r>
              <w:rPr>
                <w:rFonts w:ascii="Aptos" w:hAnsi="Aptos"/>
                <w:b w:val="0"/>
                <w:sz w:val="15"/>
              </w:rPr>
              <w:t>-0.05</w:t>
            </w:r>
          </w:p>
        </w:tc>
        <w:tc>
          <w:tcPr>
            <w:tcW w:type="dxa" w:w="1452"/>
            <w:vAlign w:val="center"/>
          </w:tcPr>
          <w:p>
            <w:pPr>
              <w:spacing w:after="0"/>
            </w:pPr>
            <w:r/>
            <w:r>
              <w:rPr>
                <w:rFonts w:ascii="Aptos" w:hAnsi="Aptos"/>
                <w:b w:val="0"/>
                <w:sz w:val="15"/>
              </w:rPr>
              <w:t>25.9</w:t>
            </w:r>
          </w:p>
        </w:tc>
        <w:tc>
          <w:tcPr>
            <w:tcW w:type="dxa" w:w="1452"/>
            <w:vAlign w:val="center"/>
          </w:tcPr>
          <w:p>
            <w:pPr>
              <w:spacing w:after="0"/>
            </w:pPr>
            <w:r/>
            <w:r>
              <w:rPr>
                <w:rFonts w:ascii="Aptos" w:hAnsi="Aptos"/>
                <w:b w:val="0"/>
                <w:sz w:val="15"/>
              </w:rPr>
              <w:t>26.00</w:t>
            </w:r>
          </w:p>
        </w:tc>
        <w:tc>
          <w:tcPr>
            <w:tcW w:type="dxa" w:w="1452"/>
            <w:vAlign w:val="center"/>
          </w:tcPr>
          <w:p>
            <w:pPr>
              <w:spacing w:after="0"/>
            </w:pPr>
            <w:r/>
            <w:r>
              <w:rPr>
                <w:rFonts w:ascii="Aptos" w:hAnsi="Aptos"/>
                <w:b w:val="0"/>
                <w:sz w:val="15"/>
              </w:rPr>
              <w:t>+0.10</w:t>
            </w:r>
          </w:p>
        </w:tc>
      </w:tr>
      <w:tr>
        <w:tc>
          <w:tcPr>
            <w:tcW w:type="dxa" w:w="1452"/>
            <w:vAlign w:val="center"/>
          </w:tcPr>
          <w:p>
            <w:pPr>
              <w:spacing w:after="0"/>
            </w:pPr>
            <w:r/>
            <w:r>
              <w:rPr>
                <w:rFonts w:ascii="Aptos" w:hAnsi="Aptos"/>
                <w:b w:val="0"/>
                <w:sz w:val="15"/>
              </w:rPr>
              <w:t>2000</w:t>
            </w:r>
          </w:p>
        </w:tc>
        <w:tc>
          <w:tcPr>
            <w:tcW w:type="dxa" w:w="1452"/>
            <w:vAlign w:val="center"/>
          </w:tcPr>
          <w:p>
            <w:pPr>
              <w:spacing w:after="0"/>
            </w:pPr>
            <w:r/>
            <w:r>
              <w:rPr>
                <w:rFonts w:ascii="Aptos" w:hAnsi="Aptos"/>
                <w:b w:val="0"/>
                <w:sz w:val="15"/>
              </w:rPr>
              <w:t>15.8</w:t>
            </w:r>
          </w:p>
        </w:tc>
        <w:tc>
          <w:tcPr>
            <w:tcW w:type="dxa" w:w="1452"/>
            <w:vAlign w:val="center"/>
          </w:tcPr>
          <w:p>
            <w:pPr>
              <w:spacing w:after="0"/>
            </w:pPr>
            <w:r/>
            <w:r>
              <w:rPr>
                <w:rFonts w:ascii="Aptos" w:hAnsi="Aptos"/>
                <w:b w:val="0"/>
                <w:sz w:val="15"/>
              </w:rPr>
              <w:t>15.90</w:t>
            </w:r>
          </w:p>
        </w:tc>
        <w:tc>
          <w:tcPr>
            <w:tcW w:type="dxa" w:w="1452"/>
            <w:vAlign w:val="center"/>
          </w:tcPr>
          <w:p>
            <w:pPr>
              <w:spacing w:after="0"/>
            </w:pPr>
            <w:r/>
            <w:r>
              <w:rPr>
                <w:rFonts w:ascii="Aptos" w:hAnsi="Aptos"/>
                <w:b w:val="0"/>
                <w:sz w:val="15"/>
              </w:rPr>
              <w:t>+0.10</w:t>
            </w:r>
          </w:p>
        </w:tc>
        <w:tc>
          <w:tcPr>
            <w:tcW w:type="dxa" w:w="1452"/>
            <w:vAlign w:val="center"/>
          </w:tcPr>
          <w:p>
            <w:pPr>
              <w:spacing w:after="0"/>
            </w:pPr>
            <w:r/>
            <w:r>
              <w:rPr>
                <w:rFonts w:ascii="Aptos" w:hAnsi="Aptos"/>
                <w:b w:val="0"/>
                <w:sz w:val="15"/>
              </w:rPr>
              <w:t>28.9</w:t>
            </w:r>
          </w:p>
        </w:tc>
        <w:tc>
          <w:tcPr>
            <w:tcW w:type="dxa" w:w="1452"/>
            <w:vAlign w:val="center"/>
          </w:tcPr>
          <w:p>
            <w:pPr>
              <w:spacing w:after="0"/>
            </w:pPr>
            <w:r/>
            <w:r>
              <w:rPr>
                <w:rFonts w:ascii="Aptos" w:hAnsi="Aptos"/>
                <w:b w:val="0"/>
                <w:sz w:val="15"/>
              </w:rPr>
              <w:t>28.89</w:t>
            </w:r>
          </w:p>
        </w:tc>
        <w:tc>
          <w:tcPr>
            <w:tcW w:type="dxa" w:w="1452"/>
            <w:vAlign w:val="center"/>
          </w:tcPr>
          <w:p>
            <w:pPr>
              <w:spacing w:after="0"/>
            </w:pPr>
            <w:r/>
            <w:r>
              <w:rPr>
                <w:rFonts w:ascii="Aptos" w:hAnsi="Aptos"/>
                <w:b w:val="0"/>
                <w:sz w:val="15"/>
              </w:rPr>
              <w:t>-0.01</w:t>
            </w:r>
          </w:p>
        </w:tc>
      </w:tr>
      <w:tr>
        <w:tc>
          <w:tcPr>
            <w:tcW w:type="dxa" w:w="1452"/>
            <w:vAlign w:val="center"/>
          </w:tcPr>
          <w:p>
            <w:pPr>
              <w:spacing w:after="0"/>
            </w:pPr>
            <w:r/>
            <w:r>
              <w:rPr>
                <w:rFonts w:ascii="Aptos" w:hAnsi="Aptos"/>
                <w:b w:val="0"/>
                <w:sz w:val="15"/>
              </w:rPr>
              <w:t>4000</w:t>
            </w:r>
          </w:p>
        </w:tc>
        <w:tc>
          <w:tcPr>
            <w:tcW w:type="dxa" w:w="1452"/>
            <w:vAlign w:val="center"/>
          </w:tcPr>
          <w:p>
            <w:pPr>
              <w:spacing w:after="0"/>
            </w:pPr>
            <w:r/>
            <w:r>
              <w:rPr>
                <w:rFonts w:ascii="Aptos" w:hAnsi="Aptos"/>
                <w:b w:val="0"/>
                <w:sz w:val="15"/>
              </w:rPr>
              <w:t>17.8</w:t>
            </w:r>
          </w:p>
        </w:tc>
        <w:tc>
          <w:tcPr>
            <w:tcW w:type="dxa" w:w="1452"/>
            <w:vAlign w:val="center"/>
          </w:tcPr>
          <w:p>
            <w:pPr>
              <w:spacing w:after="0"/>
            </w:pPr>
            <w:r/>
            <w:r>
              <w:rPr>
                <w:rFonts w:ascii="Aptos" w:hAnsi="Aptos"/>
                <w:b w:val="0"/>
                <w:sz w:val="15"/>
              </w:rPr>
              <w:t>17.72</w:t>
            </w:r>
          </w:p>
        </w:tc>
        <w:tc>
          <w:tcPr>
            <w:tcW w:type="dxa" w:w="1452"/>
            <w:vAlign w:val="center"/>
          </w:tcPr>
          <w:p>
            <w:pPr>
              <w:spacing w:after="0"/>
            </w:pPr>
            <w:r/>
            <w:r>
              <w:rPr>
                <w:rFonts w:ascii="Aptos" w:hAnsi="Aptos"/>
                <w:b w:val="0"/>
                <w:sz w:val="15"/>
              </w:rPr>
              <w:t>-0.08</w:t>
            </w:r>
          </w:p>
        </w:tc>
        <w:tc>
          <w:tcPr>
            <w:tcW w:type="dxa" w:w="1452"/>
            <w:vAlign w:val="center"/>
          </w:tcPr>
          <w:p>
            <w:pPr>
              <w:spacing w:after="0"/>
            </w:pPr>
            <w:r/>
            <w:r>
              <w:rPr>
                <w:rFonts w:ascii="Aptos" w:hAnsi="Aptos"/>
                <w:b w:val="0"/>
                <w:sz w:val="15"/>
              </w:rPr>
              <w:t>32.1</w:t>
            </w:r>
          </w:p>
        </w:tc>
        <w:tc>
          <w:tcPr>
            <w:tcW w:type="dxa" w:w="1452"/>
            <w:vAlign w:val="center"/>
          </w:tcPr>
          <w:p>
            <w:pPr>
              <w:spacing w:after="0"/>
            </w:pPr>
            <w:r/>
            <w:r>
              <w:rPr>
                <w:rFonts w:ascii="Aptos" w:hAnsi="Aptos"/>
                <w:b w:val="0"/>
                <w:sz w:val="15"/>
              </w:rPr>
              <w:t>31.83</w:t>
            </w:r>
          </w:p>
        </w:tc>
        <w:tc>
          <w:tcPr>
            <w:tcW w:type="dxa" w:w="1452"/>
            <w:vAlign w:val="center"/>
          </w:tcPr>
          <w:p>
            <w:pPr>
              <w:spacing w:after="0"/>
            </w:pPr>
            <w:r/>
            <w:r>
              <w:rPr>
                <w:rFonts w:ascii="Aptos" w:hAnsi="Aptos"/>
                <w:b w:val="0"/>
                <w:sz w:val="15"/>
              </w:rPr>
              <w:t>-0.27</w:t>
            </w:r>
          </w:p>
        </w:tc>
      </w:tr>
      <w:tr>
        <w:tc>
          <w:tcPr>
            <w:tcW w:type="dxa" w:w="1452"/>
            <w:vAlign w:val="center"/>
          </w:tcPr>
          <w:p>
            <w:pPr>
              <w:spacing w:after="0"/>
            </w:pPr>
            <w:r/>
            <w:r>
              <w:rPr>
                <w:rFonts w:ascii="Aptos" w:hAnsi="Aptos"/>
                <w:b w:val="0"/>
                <w:sz w:val="15"/>
              </w:rPr>
              <w:t>8000</w:t>
            </w:r>
          </w:p>
        </w:tc>
        <w:tc>
          <w:tcPr>
            <w:tcW w:type="dxa" w:w="1452"/>
            <w:vAlign w:val="center"/>
          </w:tcPr>
          <w:p>
            <w:pPr>
              <w:spacing w:after="0"/>
            </w:pPr>
            <w:r/>
            <w:r>
              <w:rPr>
                <w:rFonts w:ascii="Aptos" w:hAnsi="Aptos"/>
                <w:b w:val="0"/>
                <w:sz w:val="15"/>
              </w:rPr>
              <w:t>19.6</w:t>
            </w:r>
          </w:p>
        </w:tc>
        <w:tc>
          <w:tcPr>
            <w:tcW w:type="dxa" w:w="1452"/>
            <w:vAlign w:val="center"/>
          </w:tcPr>
          <w:p>
            <w:pPr>
              <w:spacing w:after="0"/>
            </w:pPr>
            <w:r/>
            <w:r>
              <w:rPr>
                <w:rFonts w:ascii="Aptos" w:hAnsi="Aptos"/>
                <w:b w:val="0"/>
                <w:sz w:val="15"/>
              </w:rPr>
              <w:t>19.59</w:t>
            </w:r>
          </w:p>
        </w:tc>
        <w:tc>
          <w:tcPr>
            <w:tcW w:type="dxa" w:w="1452"/>
            <w:vAlign w:val="center"/>
          </w:tcPr>
          <w:p>
            <w:pPr>
              <w:spacing w:after="0"/>
            </w:pPr>
            <w:r/>
            <w:r>
              <w:rPr>
                <w:rFonts w:ascii="Aptos" w:hAnsi="Aptos"/>
                <w:b w:val="0"/>
                <w:sz w:val="15"/>
              </w:rPr>
              <w:t>-0.01</w:t>
            </w:r>
          </w:p>
        </w:tc>
        <w:tc>
          <w:tcPr>
            <w:tcW w:type="dxa" w:w="1452"/>
            <w:vAlign w:val="center"/>
          </w:tcPr>
          <w:p>
            <w:pPr>
              <w:spacing w:after="0"/>
            </w:pPr>
            <w:r/>
            <w:r>
              <w:rPr>
                <w:rFonts w:ascii="Aptos" w:hAnsi="Aptos"/>
                <w:b w:val="0"/>
                <w:sz w:val="15"/>
              </w:rPr>
              <w:t>35.3</w:t>
            </w:r>
          </w:p>
        </w:tc>
        <w:tc>
          <w:tcPr>
            <w:tcW w:type="dxa" w:w="1452"/>
            <w:vAlign w:val="center"/>
          </w:tcPr>
          <w:p>
            <w:pPr>
              <w:spacing w:after="0"/>
            </w:pPr>
            <w:r/>
            <w:r>
              <w:rPr>
                <w:rFonts w:ascii="Aptos" w:hAnsi="Aptos"/>
                <w:b w:val="0"/>
                <w:sz w:val="15"/>
              </w:rPr>
              <w:t>35.04</w:t>
            </w:r>
          </w:p>
        </w:tc>
        <w:tc>
          <w:tcPr>
            <w:tcW w:type="dxa" w:w="1452"/>
            <w:vAlign w:val="center"/>
          </w:tcPr>
          <w:p>
            <w:pPr>
              <w:spacing w:after="0"/>
            </w:pPr>
            <w:r/>
            <w:r>
              <w:rPr>
                <w:rFonts w:ascii="Aptos" w:hAnsi="Aptos"/>
                <w:b w:val="0"/>
                <w:sz w:val="15"/>
              </w:rPr>
              <w:t>-0.26</w:t>
            </w:r>
          </w:p>
        </w:tc>
      </w:tr>
      <w:tr>
        <w:tc>
          <w:tcPr>
            <w:tcW w:type="dxa" w:w="1452"/>
            <w:vAlign w:val="center"/>
          </w:tcPr>
          <w:p>
            <w:pPr>
              <w:spacing w:after="0"/>
            </w:pPr>
            <w:r/>
            <w:r>
              <w:rPr>
                <w:rFonts w:ascii="Aptos" w:hAnsi="Aptos"/>
                <w:b w:val="0"/>
                <w:sz w:val="15"/>
              </w:rPr>
              <w:t>16000</w:t>
            </w:r>
          </w:p>
        </w:tc>
        <w:tc>
          <w:tcPr>
            <w:tcW w:type="dxa" w:w="1452"/>
            <w:vAlign w:val="center"/>
          </w:tcPr>
          <w:p>
            <w:pPr>
              <w:spacing w:after="0"/>
            </w:pPr>
            <w:r/>
            <w:r>
              <w:rPr>
                <w:rFonts w:ascii="Aptos" w:hAnsi="Aptos"/>
                <w:b w:val="0"/>
                <w:sz w:val="15"/>
              </w:rPr>
              <w:t>21.5</w:t>
            </w:r>
          </w:p>
        </w:tc>
        <w:tc>
          <w:tcPr>
            <w:tcW w:type="dxa" w:w="1452"/>
            <w:vAlign w:val="center"/>
          </w:tcPr>
          <w:p>
            <w:pPr>
              <w:spacing w:after="0"/>
            </w:pPr>
            <w:r/>
            <w:r>
              <w:rPr>
                <w:rFonts w:ascii="Aptos" w:hAnsi="Aptos"/>
                <w:b w:val="0"/>
                <w:sz w:val="15"/>
              </w:rPr>
              <w:t>21.51</w:t>
            </w:r>
          </w:p>
        </w:tc>
        <w:tc>
          <w:tcPr>
            <w:tcW w:type="dxa" w:w="1452"/>
            <w:vAlign w:val="center"/>
          </w:tcPr>
          <w:p>
            <w:pPr>
              <w:spacing w:after="0"/>
            </w:pPr>
            <w:r/>
            <w:r>
              <w:rPr>
                <w:rFonts w:ascii="Aptos" w:hAnsi="Aptos"/>
                <w:b w:val="0"/>
                <w:sz w:val="15"/>
              </w:rPr>
              <w:t>+0.01</w:t>
            </w:r>
          </w:p>
        </w:tc>
        <w:tc>
          <w:tcPr>
            <w:tcW w:type="dxa" w:w="1452"/>
            <w:vAlign w:val="center"/>
          </w:tcPr>
          <w:p>
            <w:pPr>
              <w:spacing w:after="0"/>
            </w:pPr>
            <w:r/>
            <w:r>
              <w:rPr>
                <w:rFonts w:ascii="Aptos" w:hAnsi="Aptos"/>
                <w:b w:val="0"/>
                <w:sz w:val="15"/>
              </w:rPr>
              <w:t>37.9</w:t>
            </w:r>
          </w:p>
        </w:tc>
        <w:tc>
          <w:tcPr>
            <w:tcW w:type="dxa" w:w="1452"/>
            <w:vAlign w:val="center"/>
          </w:tcPr>
          <w:p>
            <w:pPr>
              <w:spacing w:after="0"/>
            </w:pPr>
            <w:r/>
            <w:r>
              <w:rPr>
                <w:rFonts w:ascii="Aptos" w:hAnsi="Aptos"/>
                <w:b w:val="0"/>
                <w:sz w:val="15"/>
              </w:rPr>
              <w:t>38.07</w:t>
            </w:r>
          </w:p>
        </w:tc>
        <w:tc>
          <w:tcPr>
            <w:tcW w:type="dxa" w:w="1452"/>
            <w:vAlign w:val="center"/>
          </w:tcPr>
          <w:p>
            <w:pPr>
              <w:spacing w:after="0"/>
            </w:pPr>
            <w:r/>
            <w:r>
              <w:rPr>
                <w:rFonts w:ascii="Aptos" w:hAnsi="Aptos"/>
                <w:b w:val="0"/>
                <w:sz w:val="15"/>
              </w:rPr>
              <w:t>+0.17</w:t>
            </w:r>
          </w:p>
        </w:tc>
      </w:tr>
    </w:tbl>
    <w:p>
      <w:pPr>
        <w:pStyle w:val="SmallNote"/>
      </w:pPr>
      <w:r>
        <w:t>Published values are means from Rohde et al.; standard deviations are available in the machine-readable CSV and original Tables 1-2. Replication uses 100 new runs per cell.</w:t>
      </w:r>
    </w:p>
    <w:p>
      <w:pPr>
        <w:pStyle w:val="Heading2"/>
      </w:pPr>
      <w:r>
        <w:t>Ten-node graph shown in Fig. 1</w:t>
      </w:r>
    </w:p>
    <w:tbl>
      <w:tblPr>
        <w:tblStyle w:val="TableGrid"/>
        <w:tblW w:type="auto" w:w="0"/>
        <w:jc w:val="center"/>
        <w:tblLook w:firstColumn="1" w:firstRow="1" w:lastColumn="0" w:lastRow="0" w:noHBand="0" w:noVBand="1" w:val="04A0"/>
      </w:tblPr>
      <w:tblGrid>
        <w:gridCol w:w="1452"/>
        <w:gridCol w:w="1452"/>
        <w:gridCol w:w="1452"/>
        <w:gridCol w:w="1452"/>
        <w:gridCol w:w="1452"/>
        <w:gridCol w:w="1452"/>
        <w:gridCol w:w="1452"/>
      </w:tblGrid>
      <w:tr>
        <w:tc>
          <w:tcPr>
            <w:tcW w:type="dxa" w:w="1452"/>
            <w:vAlign w:val="center"/>
            <w:shd w:fill="1B2E41"/>
          </w:tcPr>
          <w:p>
            <w:pPr>
              <w:spacing w:after="0"/>
            </w:pPr>
            <w:r/>
            <w:r>
              <w:rPr>
                <w:rFonts w:ascii="Aptos" w:hAnsi="Aptos"/>
                <w:b/>
                <w:color w:val="FFFFFF"/>
                <w:sz w:val="15"/>
              </w:rPr>
              <w:t>N</w:t>
            </w:r>
          </w:p>
        </w:tc>
        <w:tc>
          <w:tcPr>
            <w:tcW w:type="dxa" w:w="1452"/>
            <w:vAlign w:val="center"/>
            <w:shd w:fill="1B2E41"/>
          </w:tcPr>
          <w:p>
            <w:pPr>
              <w:spacing w:after="0"/>
            </w:pPr>
            <w:r/>
            <w:r>
              <w:rPr>
                <w:rFonts w:ascii="Aptos" w:hAnsi="Aptos"/>
                <w:b/>
                <w:color w:val="FFFFFF"/>
                <w:sz w:val="15"/>
              </w:rPr>
              <w:t>T pub</w:t>
            </w:r>
          </w:p>
        </w:tc>
        <w:tc>
          <w:tcPr>
            <w:tcW w:type="dxa" w:w="1452"/>
            <w:vAlign w:val="center"/>
            <w:shd w:fill="1B2E41"/>
          </w:tcPr>
          <w:p>
            <w:pPr>
              <w:spacing w:after="0"/>
            </w:pPr>
            <w:r/>
            <w:r>
              <w:rPr>
                <w:rFonts w:ascii="Aptos" w:hAnsi="Aptos"/>
                <w:b/>
                <w:color w:val="FFFFFF"/>
                <w:sz w:val="15"/>
              </w:rPr>
              <w:t>T repl</w:t>
            </w:r>
          </w:p>
        </w:tc>
        <w:tc>
          <w:tcPr>
            <w:tcW w:type="dxa" w:w="1452"/>
            <w:vAlign w:val="center"/>
            <w:shd w:fill="1B2E41"/>
          </w:tcPr>
          <w:p>
            <w:pPr>
              <w:spacing w:after="0"/>
            </w:pPr>
            <w:r/>
            <w:r>
              <w:rPr>
                <w:rFonts w:ascii="Aptos" w:hAnsi="Aptos"/>
                <w:b/>
                <w:color w:val="FFFFFF"/>
                <w:sz w:val="15"/>
              </w:rPr>
              <w:t>ΔT</w:t>
            </w:r>
          </w:p>
        </w:tc>
        <w:tc>
          <w:tcPr>
            <w:tcW w:type="dxa" w:w="1452"/>
            <w:vAlign w:val="center"/>
            <w:shd w:fill="1B2E41"/>
          </w:tcPr>
          <w:p>
            <w:pPr>
              <w:spacing w:after="0"/>
            </w:pPr>
            <w:r/>
            <w:r>
              <w:rPr>
                <w:rFonts w:ascii="Aptos" w:hAnsi="Aptos"/>
                <w:b/>
                <w:color w:val="FFFFFF"/>
                <w:sz w:val="15"/>
              </w:rPr>
              <w:t>U pub</w:t>
            </w:r>
          </w:p>
        </w:tc>
        <w:tc>
          <w:tcPr>
            <w:tcW w:type="dxa" w:w="1452"/>
            <w:vAlign w:val="center"/>
            <w:shd w:fill="1B2E41"/>
          </w:tcPr>
          <w:p>
            <w:pPr>
              <w:spacing w:after="0"/>
            </w:pPr>
            <w:r/>
            <w:r>
              <w:rPr>
                <w:rFonts w:ascii="Aptos" w:hAnsi="Aptos"/>
                <w:b/>
                <w:color w:val="FFFFFF"/>
                <w:sz w:val="15"/>
              </w:rPr>
              <w:t>U repl</w:t>
            </w:r>
          </w:p>
        </w:tc>
        <w:tc>
          <w:tcPr>
            <w:tcW w:type="dxa" w:w="1452"/>
            <w:vAlign w:val="center"/>
            <w:shd w:fill="1B2E41"/>
          </w:tcPr>
          <w:p>
            <w:pPr>
              <w:spacing w:after="0"/>
            </w:pPr>
            <w:r/>
            <w:r>
              <w:rPr>
                <w:rFonts w:ascii="Aptos" w:hAnsi="Aptos"/>
                <w:b/>
                <w:color w:val="FFFFFF"/>
                <w:sz w:val="15"/>
              </w:rPr>
              <w:t>ΔU</w:t>
            </w:r>
          </w:p>
        </w:tc>
      </w:tr>
      <w:tr>
        <w:tc>
          <w:tcPr>
            <w:tcW w:type="dxa" w:w="1452"/>
            <w:vAlign w:val="center"/>
          </w:tcPr>
          <w:p>
            <w:pPr>
              <w:spacing w:after="0"/>
            </w:pPr>
            <w:r/>
            <w:r>
              <w:rPr>
                <w:rFonts w:ascii="Aptos" w:hAnsi="Aptos"/>
                <w:b w:val="0"/>
                <w:sz w:val="15"/>
              </w:rPr>
              <w:t>1000</w:t>
            </w:r>
          </w:p>
        </w:tc>
        <w:tc>
          <w:tcPr>
            <w:tcW w:type="dxa" w:w="1452"/>
            <w:vAlign w:val="center"/>
          </w:tcPr>
          <w:p>
            <w:pPr>
              <w:spacing w:after="0"/>
            </w:pPr>
            <w:r/>
            <w:r>
              <w:rPr>
                <w:rFonts w:ascii="Aptos" w:hAnsi="Aptos"/>
                <w:b w:val="0"/>
                <w:sz w:val="15"/>
              </w:rPr>
              <w:t>21.1</w:t>
            </w:r>
          </w:p>
        </w:tc>
        <w:tc>
          <w:tcPr>
            <w:tcW w:type="dxa" w:w="1452"/>
            <w:vAlign w:val="center"/>
          </w:tcPr>
          <w:p>
            <w:pPr>
              <w:spacing w:after="0"/>
            </w:pPr>
            <w:r/>
            <w:r>
              <w:rPr>
                <w:rFonts w:ascii="Aptos" w:hAnsi="Aptos"/>
                <w:b w:val="0"/>
                <w:sz w:val="15"/>
              </w:rPr>
              <w:t>21.54</w:t>
            </w:r>
          </w:p>
        </w:tc>
        <w:tc>
          <w:tcPr>
            <w:tcW w:type="dxa" w:w="1452"/>
            <w:vAlign w:val="center"/>
          </w:tcPr>
          <w:p>
            <w:pPr>
              <w:spacing w:after="0"/>
            </w:pPr>
            <w:r/>
            <w:r>
              <w:rPr>
                <w:rFonts w:ascii="Aptos" w:hAnsi="Aptos"/>
                <w:b w:val="0"/>
                <w:sz w:val="15"/>
              </w:rPr>
              <w:t>+0.44</w:t>
            </w:r>
          </w:p>
        </w:tc>
        <w:tc>
          <w:tcPr>
            <w:tcW w:type="dxa" w:w="1452"/>
            <w:vAlign w:val="center"/>
          </w:tcPr>
          <w:p>
            <w:pPr>
              <w:spacing w:after="0"/>
            </w:pPr>
            <w:r/>
            <w:r>
              <w:rPr>
                <w:rFonts w:ascii="Aptos" w:hAnsi="Aptos"/>
                <w:b w:val="0"/>
                <w:sz w:val="15"/>
              </w:rPr>
              <w:t>46.3</w:t>
            </w:r>
          </w:p>
        </w:tc>
        <w:tc>
          <w:tcPr>
            <w:tcW w:type="dxa" w:w="1452"/>
            <w:vAlign w:val="center"/>
          </w:tcPr>
          <w:p>
            <w:pPr>
              <w:spacing w:after="0"/>
            </w:pPr>
            <w:r/>
            <w:r>
              <w:rPr>
                <w:rFonts w:ascii="Aptos" w:hAnsi="Aptos"/>
                <w:b w:val="0"/>
                <w:sz w:val="15"/>
              </w:rPr>
              <w:t>46.65</w:t>
            </w:r>
          </w:p>
        </w:tc>
        <w:tc>
          <w:tcPr>
            <w:tcW w:type="dxa" w:w="1452"/>
            <w:vAlign w:val="center"/>
          </w:tcPr>
          <w:p>
            <w:pPr>
              <w:spacing w:after="0"/>
            </w:pPr>
            <w:r/>
            <w:r>
              <w:rPr>
                <w:rFonts w:ascii="Aptos" w:hAnsi="Aptos"/>
                <w:b w:val="0"/>
                <w:sz w:val="15"/>
              </w:rPr>
              <w:t>+0.35</w:t>
            </w:r>
          </w:p>
        </w:tc>
      </w:tr>
      <w:tr>
        <w:tc>
          <w:tcPr>
            <w:tcW w:type="dxa" w:w="1452"/>
            <w:vAlign w:val="center"/>
          </w:tcPr>
          <w:p>
            <w:pPr>
              <w:spacing w:after="0"/>
            </w:pPr>
            <w:r/>
            <w:r>
              <w:rPr>
                <w:rFonts w:ascii="Aptos" w:hAnsi="Aptos"/>
                <w:b w:val="0"/>
                <w:sz w:val="15"/>
              </w:rPr>
              <w:t>2000</w:t>
            </w:r>
          </w:p>
        </w:tc>
        <w:tc>
          <w:tcPr>
            <w:tcW w:type="dxa" w:w="1452"/>
            <w:vAlign w:val="center"/>
          </w:tcPr>
          <w:p>
            <w:pPr>
              <w:spacing w:after="0"/>
            </w:pPr>
            <w:r/>
            <w:r>
              <w:rPr>
                <w:rFonts w:ascii="Aptos" w:hAnsi="Aptos"/>
                <w:b w:val="0"/>
                <w:sz w:val="15"/>
              </w:rPr>
              <w:t>24.3</w:t>
            </w:r>
          </w:p>
        </w:tc>
        <w:tc>
          <w:tcPr>
            <w:tcW w:type="dxa" w:w="1452"/>
            <w:vAlign w:val="center"/>
          </w:tcPr>
          <w:p>
            <w:pPr>
              <w:spacing w:after="0"/>
            </w:pPr>
            <w:r/>
            <w:r>
              <w:rPr>
                <w:rFonts w:ascii="Aptos" w:hAnsi="Aptos"/>
                <w:b w:val="0"/>
                <w:sz w:val="15"/>
              </w:rPr>
              <w:t>24.07</w:t>
            </w:r>
          </w:p>
        </w:tc>
        <w:tc>
          <w:tcPr>
            <w:tcW w:type="dxa" w:w="1452"/>
            <w:vAlign w:val="center"/>
          </w:tcPr>
          <w:p>
            <w:pPr>
              <w:spacing w:after="0"/>
            </w:pPr>
            <w:r/>
            <w:r>
              <w:rPr>
                <w:rFonts w:ascii="Aptos" w:hAnsi="Aptos"/>
                <w:b w:val="0"/>
                <w:sz w:val="15"/>
              </w:rPr>
              <w:t>-0.23</w:t>
            </w:r>
          </w:p>
        </w:tc>
        <w:tc>
          <w:tcPr>
            <w:tcW w:type="dxa" w:w="1452"/>
            <w:vAlign w:val="center"/>
          </w:tcPr>
          <w:p>
            <w:pPr>
              <w:spacing w:after="0"/>
            </w:pPr>
            <w:r/>
            <w:r>
              <w:rPr>
                <w:rFonts w:ascii="Aptos" w:hAnsi="Aptos"/>
                <w:b w:val="0"/>
                <w:sz w:val="15"/>
              </w:rPr>
              <w:t>53.0</w:t>
            </w:r>
          </w:p>
        </w:tc>
        <w:tc>
          <w:tcPr>
            <w:tcW w:type="dxa" w:w="1452"/>
            <w:vAlign w:val="center"/>
          </w:tcPr>
          <w:p>
            <w:pPr>
              <w:spacing w:after="0"/>
            </w:pPr>
            <w:r/>
            <w:r>
              <w:rPr>
                <w:rFonts w:ascii="Aptos" w:hAnsi="Aptos"/>
                <w:b w:val="0"/>
                <w:sz w:val="15"/>
              </w:rPr>
              <w:t>52.49</w:t>
            </w:r>
          </w:p>
        </w:tc>
        <w:tc>
          <w:tcPr>
            <w:tcW w:type="dxa" w:w="1452"/>
            <w:vAlign w:val="center"/>
          </w:tcPr>
          <w:p>
            <w:pPr>
              <w:spacing w:after="0"/>
            </w:pPr>
            <w:r/>
            <w:r>
              <w:rPr>
                <w:rFonts w:ascii="Aptos" w:hAnsi="Aptos"/>
                <w:b w:val="0"/>
                <w:sz w:val="15"/>
              </w:rPr>
              <w:t>-0.51</w:t>
            </w:r>
          </w:p>
        </w:tc>
      </w:tr>
      <w:tr>
        <w:tc>
          <w:tcPr>
            <w:tcW w:type="dxa" w:w="1452"/>
            <w:vAlign w:val="center"/>
          </w:tcPr>
          <w:p>
            <w:pPr>
              <w:spacing w:after="0"/>
            </w:pPr>
            <w:r/>
            <w:r>
              <w:rPr>
                <w:rFonts w:ascii="Aptos" w:hAnsi="Aptos"/>
                <w:b w:val="0"/>
                <w:sz w:val="15"/>
              </w:rPr>
              <w:t>4000</w:t>
            </w:r>
          </w:p>
        </w:tc>
        <w:tc>
          <w:tcPr>
            <w:tcW w:type="dxa" w:w="1452"/>
            <w:vAlign w:val="center"/>
          </w:tcPr>
          <w:p>
            <w:pPr>
              <w:spacing w:after="0"/>
            </w:pPr>
            <w:r/>
            <w:r>
              <w:rPr>
                <w:rFonts w:ascii="Aptos" w:hAnsi="Aptos"/>
                <w:b w:val="0"/>
                <w:sz w:val="15"/>
              </w:rPr>
              <w:t>27.6</w:t>
            </w:r>
          </w:p>
        </w:tc>
        <w:tc>
          <w:tcPr>
            <w:tcW w:type="dxa" w:w="1452"/>
            <w:vAlign w:val="center"/>
          </w:tcPr>
          <w:p>
            <w:pPr>
              <w:spacing w:after="0"/>
            </w:pPr>
            <w:r/>
            <w:r>
              <w:rPr>
                <w:rFonts w:ascii="Aptos" w:hAnsi="Aptos"/>
                <w:b w:val="0"/>
                <w:sz w:val="15"/>
              </w:rPr>
              <w:t>27.67</w:t>
            </w:r>
          </w:p>
        </w:tc>
        <w:tc>
          <w:tcPr>
            <w:tcW w:type="dxa" w:w="1452"/>
            <w:vAlign w:val="center"/>
          </w:tcPr>
          <w:p>
            <w:pPr>
              <w:spacing w:after="0"/>
            </w:pPr>
            <w:r/>
            <w:r>
              <w:rPr>
                <w:rFonts w:ascii="Aptos" w:hAnsi="Aptos"/>
                <w:b w:val="0"/>
                <w:sz w:val="15"/>
              </w:rPr>
              <w:t>+0.07</w:t>
            </w:r>
          </w:p>
        </w:tc>
        <w:tc>
          <w:tcPr>
            <w:tcW w:type="dxa" w:w="1452"/>
            <w:vAlign w:val="center"/>
          </w:tcPr>
          <w:p>
            <w:pPr>
              <w:spacing w:after="0"/>
            </w:pPr>
            <w:r/>
            <w:r>
              <w:rPr>
                <w:rFonts w:ascii="Aptos" w:hAnsi="Aptos"/>
                <w:b w:val="0"/>
                <w:sz w:val="15"/>
              </w:rPr>
              <w:t>59.8</w:t>
            </w:r>
          </w:p>
        </w:tc>
        <w:tc>
          <w:tcPr>
            <w:tcW w:type="dxa" w:w="1452"/>
            <w:vAlign w:val="center"/>
          </w:tcPr>
          <w:p>
            <w:pPr>
              <w:spacing w:after="0"/>
            </w:pPr>
            <w:r/>
            <w:r>
              <w:rPr>
                <w:rFonts w:ascii="Aptos" w:hAnsi="Aptos"/>
                <w:b w:val="0"/>
                <w:sz w:val="15"/>
              </w:rPr>
              <w:t>59.83</w:t>
            </w:r>
          </w:p>
        </w:tc>
        <w:tc>
          <w:tcPr>
            <w:tcW w:type="dxa" w:w="1452"/>
            <w:vAlign w:val="center"/>
          </w:tcPr>
          <w:p>
            <w:pPr>
              <w:spacing w:after="0"/>
            </w:pPr>
            <w:r/>
            <w:r>
              <w:rPr>
                <w:rFonts w:ascii="Aptos" w:hAnsi="Aptos"/>
                <w:b w:val="0"/>
                <w:sz w:val="15"/>
              </w:rPr>
              <w:t>+0.03</w:t>
            </w:r>
          </w:p>
        </w:tc>
      </w:tr>
      <w:tr>
        <w:tc>
          <w:tcPr>
            <w:tcW w:type="dxa" w:w="1452"/>
            <w:vAlign w:val="center"/>
          </w:tcPr>
          <w:p>
            <w:pPr>
              <w:spacing w:after="0"/>
            </w:pPr>
            <w:r/>
            <w:r>
              <w:rPr>
                <w:rFonts w:ascii="Aptos" w:hAnsi="Aptos"/>
                <w:b w:val="0"/>
                <w:sz w:val="15"/>
              </w:rPr>
              <w:t>8000</w:t>
            </w:r>
          </w:p>
        </w:tc>
        <w:tc>
          <w:tcPr>
            <w:tcW w:type="dxa" w:w="1452"/>
            <w:vAlign w:val="center"/>
          </w:tcPr>
          <w:p>
            <w:pPr>
              <w:spacing w:after="0"/>
            </w:pPr>
            <w:r/>
            <w:r>
              <w:rPr>
                <w:rFonts w:ascii="Aptos" w:hAnsi="Aptos"/>
                <w:b w:val="0"/>
                <w:sz w:val="15"/>
              </w:rPr>
              <w:t>30.5</w:t>
            </w:r>
          </w:p>
        </w:tc>
        <w:tc>
          <w:tcPr>
            <w:tcW w:type="dxa" w:w="1452"/>
            <w:vAlign w:val="center"/>
          </w:tcPr>
          <w:p>
            <w:pPr>
              <w:spacing w:after="0"/>
            </w:pPr>
            <w:r/>
            <w:r>
              <w:rPr>
                <w:rFonts w:ascii="Aptos" w:hAnsi="Aptos"/>
                <w:b w:val="0"/>
                <w:sz w:val="15"/>
              </w:rPr>
              <w:t>30.42</w:t>
            </w:r>
          </w:p>
        </w:tc>
        <w:tc>
          <w:tcPr>
            <w:tcW w:type="dxa" w:w="1452"/>
            <w:vAlign w:val="center"/>
          </w:tcPr>
          <w:p>
            <w:pPr>
              <w:spacing w:after="0"/>
            </w:pPr>
            <w:r/>
            <w:r>
              <w:rPr>
                <w:rFonts w:ascii="Aptos" w:hAnsi="Aptos"/>
                <w:b w:val="0"/>
                <w:sz w:val="15"/>
              </w:rPr>
              <w:t>-0.08</w:t>
            </w:r>
          </w:p>
        </w:tc>
        <w:tc>
          <w:tcPr>
            <w:tcW w:type="dxa" w:w="1452"/>
            <w:vAlign w:val="center"/>
          </w:tcPr>
          <w:p>
            <w:pPr>
              <w:spacing w:after="0"/>
            </w:pPr>
            <w:r/>
            <w:r>
              <w:rPr>
                <w:rFonts w:ascii="Aptos" w:hAnsi="Aptos"/>
                <w:b w:val="0"/>
                <w:sz w:val="15"/>
              </w:rPr>
              <w:t>66.8</w:t>
            </w:r>
          </w:p>
        </w:tc>
        <w:tc>
          <w:tcPr>
            <w:tcW w:type="dxa" w:w="1452"/>
            <w:vAlign w:val="center"/>
          </w:tcPr>
          <w:p>
            <w:pPr>
              <w:spacing w:after="0"/>
            </w:pPr>
            <w:r/>
            <w:r>
              <w:rPr>
                <w:rFonts w:ascii="Aptos" w:hAnsi="Aptos"/>
                <w:b w:val="0"/>
                <w:sz w:val="15"/>
              </w:rPr>
              <w:t>66.41</w:t>
            </w:r>
          </w:p>
        </w:tc>
        <w:tc>
          <w:tcPr>
            <w:tcW w:type="dxa" w:w="1452"/>
            <w:vAlign w:val="center"/>
          </w:tcPr>
          <w:p>
            <w:pPr>
              <w:spacing w:after="0"/>
            </w:pPr>
            <w:r/>
            <w:r>
              <w:rPr>
                <w:rFonts w:ascii="Aptos" w:hAnsi="Aptos"/>
                <w:b w:val="0"/>
                <w:sz w:val="15"/>
              </w:rPr>
              <w:t>-0.39</w:t>
            </w:r>
          </w:p>
        </w:tc>
      </w:tr>
      <w:tr>
        <w:tc>
          <w:tcPr>
            <w:tcW w:type="dxa" w:w="1452"/>
            <w:vAlign w:val="center"/>
          </w:tcPr>
          <w:p>
            <w:pPr>
              <w:spacing w:after="0"/>
            </w:pPr>
            <w:r/>
            <w:r>
              <w:rPr>
                <w:rFonts w:ascii="Aptos" w:hAnsi="Aptos"/>
                <w:b w:val="0"/>
                <w:sz w:val="15"/>
              </w:rPr>
              <w:t>16000</w:t>
            </w:r>
          </w:p>
        </w:tc>
        <w:tc>
          <w:tcPr>
            <w:tcW w:type="dxa" w:w="1452"/>
            <w:vAlign w:val="center"/>
          </w:tcPr>
          <w:p>
            <w:pPr>
              <w:spacing w:after="0"/>
            </w:pPr>
            <w:r/>
            <w:r>
              <w:rPr>
                <w:rFonts w:ascii="Aptos" w:hAnsi="Aptos"/>
                <w:b w:val="0"/>
                <w:sz w:val="15"/>
              </w:rPr>
              <w:t>33.8</w:t>
            </w:r>
          </w:p>
        </w:tc>
        <w:tc>
          <w:tcPr>
            <w:tcW w:type="dxa" w:w="1452"/>
            <w:vAlign w:val="center"/>
          </w:tcPr>
          <w:p>
            <w:pPr>
              <w:spacing w:after="0"/>
            </w:pPr>
            <w:r/>
            <w:r>
              <w:rPr>
                <w:rFonts w:ascii="Aptos" w:hAnsi="Aptos"/>
                <w:b w:val="0"/>
                <w:sz w:val="15"/>
              </w:rPr>
              <w:t>33.32</w:t>
            </w:r>
          </w:p>
        </w:tc>
        <w:tc>
          <w:tcPr>
            <w:tcW w:type="dxa" w:w="1452"/>
            <w:vAlign w:val="center"/>
          </w:tcPr>
          <w:p>
            <w:pPr>
              <w:spacing w:after="0"/>
            </w:pPr>
            <w:r/>
            <w:r>
              <w:rPr>
                <w:rFonts w:ascii="Aptos" w:hAnsi="Aptos"/>
                <w:b w:val="0"/>
                <w:sz w:val="15"/>
              </w:rPr>
              <w:t>-0.48</w:t>
            </w:r>
          </w:p>
        </w:tc>
        <w:tc>
          <w:tcPr>
            <w:tcW w:type="dxa" w:w="1452"/>
            <w:vAlign w:val="center"/>
          </w:tcPr>
          <w:p>
            <w:pPr>
              <w:spacing w:after="0"/>
            </w:pPr>
            <w:r/>
            <w:r>
              <w:rPr>
                <w:rFonts w:ascii="Aptos" w:hAnsi="Aptos"/>
                <w:b w:val="0"/>
                <w:sz w:val="15"/>
              </w:rPr>
              <w:t>73.6</w:t>
            </w:r>
          </w:p>
        </w:tc>
        <w:tc>
          <w:tcPr>
            <w:tcW w:type="dxa" w:w="1452"/>
            <w:vAlign w:val="center"/>
          </w:tcPr>
          <w:p>
            <w:pPr>
              <w:spacing w:after="0"/>
            </w:pPr>
            <w:r/>
            <w:r>
              <w:rPr>
                <w:rFonts w:ascii="Aptos" w:hAnsi="Aptos"/>
                <w:b w:val="0"/>
                <w:sz w:val="15"/>
              </w:rPr>
              <w:t>73.31</w:t>
            </w:r>
          </w:p>
        </w:tc>
        <w:tc>
          <w:tcPr>
            <w:tcW w:type="dxa" w:w="1452"/>
            <w:vAlign w:val="center"/>
          </w:tcPr>
          <w:p>
            <w:pPr>
              <w:spacing w:after="0"/>
            </w:pPr>
            <w:r/>
            <w:r>
              <w:rPr>
                <w:rFonts w:ascii="Aptos" w:hAnsi="Aptos"/>
                <w:b w:val="0"/>
                <w:sz w:val="15"/>
              </w:rPr>
              <w:t>-0.29</w:t>
            </w:r>
          </w:p>
        </w:tc>
      </w:tr>
    </w:tbl>
    <w:p>
      <w:pPr>
        <w:pStyle w:val="SmallNote"/>
      </w:pPr>
      <w:r>
        <w:t>Published values are means from Rohde et al.; standard deviations are available in the machine-readable CSV and original Tables 1-2. Replication uses 100 new runs per cell.</w:t>
      </w:r>
    </w:p>
    <w:p>
      <w:pPr>
        <w:pStyle w:val="Heading1"/>
      </w:pPr>
      <w:r>
        <w:t>5. Calculator-level doubling test</w:t>
      </w:r>
    </w:p>
    <w:p>
      <w:r>
        <w:t>Because log2(2N) = log2(N) + 1, the asymptotic theory predicts a fixed increase each time population size doubles. This is an especially useful audit because a reviewer can check it with a calculator without trusting any code.</w:t>
      </w:r>
    </w:p>
    <w:tbl>
      <w:tblPr>
        <w:tblStyle w:val="TableGrid"/>
        <w:tblW w:type="auto" w:w="0"/>
        <w:jc w:val="center"/>
        <w:tblLook w:firstColumn="1" w:firstRow="1" w:lastColumn="0" w:lastRow="0" w:noHBand="0" w:noVBand="1" w:val="04A0"/>
      </w:tblPr>
      <w:tblGrid>
        <w:gridCol w:w="1452"/>
        <w:gridCol w:w="1452"/>
        <w:gridCol w:w="1452"/>
        <w:gridCol w:w="1452"/>
        <w:gridCol w:w="1452"/>
        <w:gridCol w:w="1452"/>
        <w:gridCol w:w="1452"/>
      </w:tblGrid>
      <w:tr>
        <w:tc>
          <w:tcPr>
            <w:tcW w:type="dxa" w:w="1452"/>
            <w:vAlign w:val="center"/>
            <w:shd w:fill="1B2E41"/>
          </w:tcPr>
          <w:p>
            <w:pPr>
              <w:spacing w:after="0"/>
            </w:pPr>
            <w:r/>
            <w:r>
              <w:rPr>
                <w:rFonts w:ascii="Aptos" w:hAnsi="Aptos"/>
                <w:b/>
                <w:color w:val="FFFFFF"/>
                <w:sz w:val="14"/>
              </w:rPr>
              <w:t>Graph</w:t>
            </w:r>
          </w:p>
        </w:tc>
        <w:tc>
          <w:tcPr>
            <w:tcW w:type="dxa" w:w="1452"/>
            <w:vAlign w:val="center"/>
            <w:shd w:fill="1B2E41"/>
          </w:tcPr>
          <w:p>
            <w:pPr>
              <w:spacing w:after="0"/>
            </w:pPr>
            <w:r/>
            <w:r>
              <w:rPr>
                <w:rFonts w:ascii="Aptos" w:hAnsi="Aptos"/>
                <w:b/>
                <w:color w:val="FFFFFF"/>
                <w:sz w:val="14"/>
              </w:rPr>
              <w:t>Theory ΔT</w:t>
            </w:r>
          </w:p>
        </w:tc>
        <w:tc>
          <w:tcPr>
            <w:tcW w:type="dxa" w:w="1452"/>
            <w:vAlign w:val="center"/>
            <w:shd w:fill="1B2E41"/>
          </w:tcPr>
          <w:p>
            <w:pPr>
              <w:spacing w:after="0"/>
            </w:pPr>
            <w:r/>
            <w:r>
              <w:rPr>
                <w:rFonts w:ascii="Aptos" w:hAnsi="Aptos"/>
                <w:b/>
                <w:color w:val="FFFFFF"/>
                <w:sz w:val="14"/>
              </w:rPr>
              <w:t>Published avg ΔT</w:t>
            </w:r>
          </w:p>
        </w:tc>
        <w:tc>
          <w:tcPr>
            <w:tcW w:type="dxa" w:w="1452"/>
            <w:vAlign w:val="center"/>
            <w:shd w:fill="1B2E41"/>
          </w:tcPr>
          <w:p>
            <w:pPr>
              <w:spacing w:after="0"/>
            </w:pPr>
            <w:r/>
            <w:r>
              <w:rPr>
                <w:rFonts w:ascii="Aptos" w:hAnsi="Aptos"/>
                <w:b/>
                <w:color w:val="FFFFFF"/>
                <w:sz w:val="14"/>
              </w:rPr>
              <w:t>Replication avg ΔT</w:t>
            </w:r>
          </w:p>
        </w:tc>
        <w:tc>
          <w:tcPr>
            <w:tcW w:type="dxa" w:w="1452"/>
            <w:vAlign w:val="center"/>
            <w:shd w:fill="1B2E41"/>
          </w:tcPr>
          <w:p>
            <w:pPr>
              <w:spacing w:after="0"/>
            </w:pPr>
            <w:r/>
            <w:r>
              <w:rPr>
                <w:rFonts w:ascii="Aptos" w:hAnsi="Aptos"/>
                <w:b/>
                <w:color w:val="FFFFFF"/>
                <w:sz w:val="14"/>
              </w:rPr>
              <w:t>Theory ΔU</w:t>
            </w:r>
          </w:p>
        </w:tc>
        <w:tc>
          <w:tcPr>
            <w:tcW w:type="dxa" w:w="1452"/>
            <w:vAlign w:val="center"/>
            <w:shd w:fill="1B2E41"/>
          </w:tcPr>
          <w:p>
            <w:pPr>
              <w:spacing w:after="0"/>
            </w:pPr>
            <w:r/>
            <w:r>
              <w:rPr>
                <w:rFonts w:ascii="Aptos" w:hAnsi="Aptos"/>
                <w:b/>
                <w:color w:val="FFFFFF"/>
                <w:sz w:val="14"/>
              </w:rPr>
              <w:t>Published avg ΔU</w:t>
            </w:r>
          </w:p>
        </w:tc>
        <w:tc>
          <w:tcPr>
            <w:tcW w:type="dxa" w:w="1452"/>
            <w:vAlign w:val="center"/>
            <w:shd w:fill="1B2E41"/>
          </w:tcPr>
          <w:p>
            <w:pPr>
              <w:spacing w:after="0"/>
            </w:pPr>
            <w:r/>
            <w:r>
              <w:rPr>
                <w:rFonts w:ascii="Aptos" w:hAnsi="Aptos"/>
                <w:b/>
                <w:color w:val="FFFFFF"/>
                <w:sz w:val="14"/>
              </w:rPr>
              <w:t>Replication avg ΔU</w:t>
            </w:r>
          </w:p>
        </w:tc>
      </w:tr>
      <w:tr>
        <w:tc>
          <w:tcPr>
            <w:tcW w:type="dxa" w:w="1452"/>
            <w:vAlign w:val="center"/>
          </w:tcPr>
          <w:p>
            <w:pPr>
              <w:spacing w:after="0"/>
            </w:pPr>
            <w:r/>
            <w:r>
              <w:rPr>
                <w:rFonts w:ascii="Aptos" w:hAnsi="Aptos"/>
                <w:b w:val="0"/>
                <w:sz w:val="14"/>
              </w:rPr>
              <w:t>One node</w:t>
            </w:r>
          </w:p>
        </w:tc>
        <w:tc>
          <w:tcPr>
            <w:tcW w:type="dxa" w:w="1452"/>
            <w:vAlign w:val="center"/>
          </w:tcPr>
          <w:p>
            <w:pPr>
              <w:spacing w:after="0"/>
            </w:pPr>
            <w:r/>
            <w:r>
              <w:rPr>
                <w:rFonts w:ascii="Aptos" w:hAnsi="Aptos"/>
                <w:b w:val="0"/>
                <w:sz w:val="14"/>
              </w:rPr>
              <w:t>1.00</w:t>
            </w:r>
          </w:p>
        </w:tc>
        <w:tc>
          <w:tcPr>
            <w:tcW w:type="dxa" w:w="1452"/>
            <w:vAlign w:val="center"/>
          </w:tcPr>
          <w:p>
            <w:pPr>
              <w:spacing w:after="0"/>
            </w:pPr>
            <w:r/>
            <w:r>
              <w:rPr>
                <w:rFonts w:ascii="Aptos" w:hAnsi="Aptos"/>
                <w:b w:val="0"/>
                <w:sz w:val="14"/>
              </w:rPr>
              <w:t>1.000</w:t>
            </w:r>
          </w:p>
        </w:tc>
        <w:tc>
          <w:tcPr>
            <w:tcW w:type="dxa" w:w="1452"/>
            <w:vAlign w:val="center"/>
          </w:tcPr>
          <w:p>
            <w:pPr>
              <w:spacing w:after="0"/>
            </w:pPr>
            <w:r/>
            <w:r>
              <w:rPr>
                <w:rFonts w:ascii="Aptos" w:hAnsi="Aptos"/>
                <w:b w:val="0"/>
                <w:sz w:val="14"/>
              </w:rPr>
              <w:t>1.062</w:t>
            </w:r>
          </w:p>
        </w:tc>
        <w:tc>
          <w:tcPr>
            <w:tcW w:type="dxa" w:w="1452"/>
            <w:vAlign w:val="center"/>
          </w:tcPr>
          <w:p>
            <w:pPr>
              <w:spacing w:after="0"/>
            </w:pPr>
            <w:r/>
            <w:r>
              <w:rPr>
                <w:rFonts w:ascii="Aptos" w:hAnsi="Aptos"/>
                <w:b w:val="0"/>
                <w:sz w:val="14"/>
              </w:rPr>
              <w:t>1.77</w:t>
            </w:r>
          </w:p>
        </w:tc>
        <w:tc>
          <w:tcPr>
            <w:tcW w:type="dxa" w:w="1452"/>
            <w:vAlign w:val="center"/>
          </w:tcPr>
          <w:p>
            <w:pPr>
              <w:spacing w:after="0"/>
            </w:pPr>
            <w:r/>
            <w:r>
              <w:rPr>
                <w:rFonts w:ascii="Aptos" w:hAnsi="Aptos"/>
                <w:b w:val="0"/>
                <w:sz w:val="14"/>
              </w:rPr>
              <w:t>1.875</w:t>
            </w:r>
          </w:p>
        </w:tc>
        <w:tc>
          <w:tcPr>
            <w:tcW w:type="dxa" w:w="1452"/>
            <w:vAlign w:val="center"/>
          </w:tcPr>
          <w:p>
            <w:pPr>
              <w:spacing w:after="0"/>
            </w:pPr>
            <w:r/>
            <w:r>
              <w:rPr>
                <w:rFonts w:ascii="Aptos" w:hAnsi="Aptos"/>
                <w:b w:val="0"/>
                <w:sz w:val="14"/>
              </w:rPr>
              <w:t>1.790</w:t>
            </w:r>
          </w:p>
        </w:tc>
      </w:tr>
      <w:tr>
        <w:tc>
          <w:tcPr>
            <w:tcW w:type="dxa" w:w="1452"/>
            <w:vAlign w:val="center"/>
          </w:tcPr>
          <w:p>
            <w:pPr>
              <w:spacing w:after="0"/>
            </w:pPr>
            <w:r/>
            <w:r>
              <w:rPr>
                <w:rFonts w:ascii="Aptos" w:hAnsi="Aptos"/>
                <w:b w:val="0"/>
                <w:sz w:val="14"/>
              </w:rPr>
              <w:t>Three fully connected</w:t>
            </w:r>
          </w:p>
        </w:tc>
        <w:tc>
          <w:tcPr>
            <w:tcW w:type="dxa" w:w="1452"/>
            <w:vAlign w:val="center"/>
          </w:tcPr>
          <w:p>
            <w:pPr>
              <w:spacing w:after="0"/>
            </w:pPr>
            <w:r/>
            <w:r>
              <w:rPr>
                <w:rFonts w:ascii="Aptos" w:hAnsi="Aptos"/>
                <w:b w:val="0"/>
                <w:sz w:val="14"/>
              </w:rPr>
              <w:t>1.50</w:t>
            </w:r>
          </w:p>
        </w:tc>
        <w:tc>
          <w:tcPr>
            <w:tcW w:type="dxa" w:w="1452"/>
            <w:vAlign w:val="center"/>
          </w:tcPr>
          <w:p>
            <w:pPr>
              <w:spacing w:after="0"/>
            </w:pPr>
            <w:r/>
            <w:r>
              <w:rPr>
                <w:rFonts w:ascii="Aptos" w:hAnsi="Aptos"/>
                <w:b w:val="0"/>
                <w:sz w:val="14"/>
              </w:rPr>
              <w:t>1.575</w:t>
            </w:r>
          </w:p>
        </w:tc>
        <w:tc>
          <w:tcPr>
            <w:tcW w:type="dxa" w:w="1452"/>
            <w:vAlign w:val="center"/>
          </w:tcPr>
          <w:p>
            <w:pPr>
              <w:spacing w:after="0"/>
            </w:pPr>
            <w:r/>
            <w:r>
              <w:rPr>
                <w:rFonts w:ascii="Aptos" w:hAnsi="Aptos"/>
                <w:b w:val="0"/>
                <w:sz w:val="14"/>
              </w:rPr>
              <w:t>1.645</w:t>
            </w:r>
          </w:p>
        </w:tc>
        <w:tc>
          <w:tcPr>
            <w:tcW w:type="dxa" w:w="1452"/>
            <w:vAlign w:val="center"/>
          </w:tcPr>
          <w:p>
            <w:pPr>
              <w:spacing w:after="0"/>
            </w:pPr>
            <w:r/>
            <w:r>
              <w:rPr>
                <w:rFonts w:ascii="Aptos" w:hAnsi="Aptos"/>
                <w:b w:val="0"/>
                <w:sz w:val="14"/>
              </w:rPr>
              <w:t>2.77</w:t>
            </w:r>
          </w:p>
        </w:tc>
        <w:tc>
          <w:tcPr>
            <w:tcW w:type="dxa" w:w="1452"/>
            <w:vAlign w:val="center"/>
          </w:tcPr>
          <w:p>
            <w:pPr>
              <w:spacing w:after="0"/>
            </w:pPr>
            <w:r/>
            <w:r>
              <w:rPr>
                <w:rFonts w:ascii="Aptos" w:hAnsi="Aptos"/>
                <w:b w:val="0"/>
                <w:sz w:val="14"/>
              </w:rPr>
              <w:t>2.875</w:t>
            </w:r>
          </w:p>
        </w:tc>
        <w:tc>
          <w:tcPr>
            <w:tcW w:type="dxa" w:w="1452"/>
            <w:vAlign w:val="center"/>
          </w:tcPr>
          <w:p>
            <w:pPr>
              <w:spacing w:after="0"/>
            </w:pPr>
            <w:r/>
            <w:r>
              <w:rPr>
                <w:rFonts w:ascii="Aptos" w:hAnsi="Aptos"/>
                <w:b w:val="0"/>
                <w:sz w:val="14"/>
              </w:rPr>
              <w:t>3.023</w:t>
            </w:r>
          </w:p>
        </w:tc>
      </w:tr>
      <w:tr>
        <w:tc>
          <w:tcPr>
            <w:tcW w:type="dxa" w:w="1452"/>
            <w:vAlign w:val="center"/>
          </w:tcPr>
          <w:p>
            <w:pPr>
              <w:spacing w:after="0"/>
            </w:pPr>
            <w:r/>
            <w:r>
              <w:rPr>
                <w:rFonts w:ascii="Aptos" w:hAnsi="Aptos"/>
                <w:b w:val="0"/>
                <w:sz w:val="14"/>
              </w:rPr>
              <w:t>Five fully connected</w:t>
            </w:r>
          </w:p>
        </w:tc>
        <w:tc>
          <w:tcPr>
            <w:tcW w:type="dxa" w:w="1452"/>
            <w:vAlign w:val="center"/>
          </w:tcPr>
          <w:p>
            <w:pPr>
              <w:spacing w:after="0"/>
            </w:pPr>
            <w:r/>
            <w:r>
              <w:rPr>
                <w:rFonts w:ascii="Aptos" w:hAnsi="Aptos"/>
                <w:b w:val="0"/>
                <w:sz w:val="14"/>
              </w:rPr>
              <w:t>1.75</w:t>
            </w:r>
          </w:p>
        </w:tc>
        <w:tc>
          <w:tcPr>
            <w:tcW w:type="dxa" w:w="1452"/>
            <w:vAlign w:val="center"/>
          </w:tcPr>
          <w:p>
            <w:pPr>
              <w:spacing w:after="0"/>
            </w:pPr>
            <w:r/>
            <w:r>
              <w:rPr>
                <w:rFonts w:ascii="Aptos" w:hAnsi="Aptos"/>
                <w:b w:val="0"/>
                <w:sz w:val="14"/>
              </w:rPr>
              <w:t>1.875</w:t>
            </w:r>
          </w:p>
        </w:tc>
        <w:tc>
          <w:tcPr>
            <w:tcW w:type="dxa" w:w="1452"/>
            <w:vAlign w:val="center"/>
          </w:tcPr>
          <w:p>
            <w:pPr>
              <w:spacing w:after="0"/>
            </w:pPr>
            <w:r/>
            <w:r>
              <w:rPr>
                <w:rFonts w:ascii="Aptos" w:hAnsi="Aptos"/>
                <w:b w:val="0"/>
                <w:sz w:val="14"/>
              </w:rPr>
              <w:t>1.890</w:t>
            </w:r>
          </w:p>
        </w:tc>
        <w:tc>
          <w:tcPr>
            <w:tcW w:type="dxa" w:w="1452"/>
            <w:vAlign w:val="center"/>
          </w:tcPr>
          <w:p>
            <w:pPr>
              <w:spacing w:after="0"/>
            </w:pPr>
            <w:r/>
            <w:r>
              <w:rPr>
                <w:rFonts w:ascii="Aptos" w:hAnsi="Aptos"/>
                <w:b w:val="0"/>
                <w:sz w:val="14"/>
              </w:rPr>
              <w:t>2.77</w:t>
            </w:r>
          </w:p>
        </w:tc>
        <w:tc>
          <w:tcPr>
            <w:tcW w:type="dxa" w:w="1452"/>
            <w:vAlign w:val="center"/>
          </w:tcPr>
          <w:p>
            <w:pPr>
              <w:spacing w:after="0"/>
            </w:pPr>
            <w:r/>
            <w:r>
              <w:rPr>
                <w:rFonts w:ascii="Aptos" w:hAnsi="Aptos"/>
                <w:b w:val="0"/>
                <w:sz w:val="14"/>
              </w:rPr>
              <w:t>3.000</w:t>
            </w:r>
          </w:p>
        </w:tc>
        <w:tc>
          <w:tcPr>
            <w:tcW w:type="dxa" w:w="1452"/>
            <w:vAlign w:val="center"/>
          </w:tcPr>
          <w:p>
            <w:pPr>
              <w:spacing w:after="0"/>
            </w:pPr>
            <w:r/>
            <w:r>
              <w:rPr>
                <w:rFonts w:ascii="Aptos" w:hAnsi="Aptos"/>
                <w:b w:val="0"/>
                <w:sz w:val="14"/>
              </w:rPr>
              <w:t>3.018</w:t>
            </w:r>
          </w:p>
        </w:tc>
      </w:tr>
      <w:tr>
        <w:tc>
          <w:tcPr>
            <w:tcW w:type="dxa" w:w="1452"/>
            <w:vAlign w:val="center"/>
          </w:tcPr>
          <w:p>
            <w:pPr>
              <w:spacing w:after="0"/>
            </w:pPr>
            <w:r/>
            <w:r>
              <w:rPr>
                <w:rFonts w:ascii="Aptos" w:hAnsi="Aptos"/>
                <w:b w:val="0"/>
                <w:sz w:val="14"/>
              </w:rPr>
              <w:t>Ten-node graph Fig. 1</w:t>
            </w:r>
          </w:p>
        </w:tc>
        <w:tc>
          <w:tcPr>
            <w:tcW w:type="dxa" w:w="1452"/>
            <w:vAlign w:val="center"/>
          </w:tcPr>
          <w:p>
            <w:pPr>
              <w:spacing w:after="0"/>
            </w:pPr>
            <w:r/>
            <w:r>
              <w:rPr>
                <w:rFonts w:ascii="Aptos" w:hAnsi="Aptos"/>
                <w:b w:val="0"/>
                <w:sz w:val="14"/>
              </w:rPr>
              <w:t>3.00</w:t>
            </w:r>
          </w:p>
        </w:tc>
        <w:tc>
          <w:tcPr>
            <w:tcW w:type="dxa" w:w="1452"/>
            <w:vAlign w:val="center"/>
          </w:tcPr>
          <w:p>
            <w:pPr>
              <w:spacing w:after="0"/>
            </w:pPr>
            <w:r/>
            <w:r>
              <w:rPr>
                <w:rFonts w:ascii="Aptos" w:hAnsi="Aptos"/>
                <w:b w:val="0"/>
                <w:sz w:val="14"/>
              </w:rPr>
              <w:t>3.175</w:t>
            </w:r>
          </w:p>
        </w:tc>
        <w:tc>
          <w:tcPr>
            <w:tcW w:type="dxa" w:w="1452"/>
            <w:vAlign w:val="center"/>
          </w:tcPr>
          <w:p>
            <w:pPr>
              <w:spacing w:after="0"/>
            </w:pPr>
            <w:r/>
            <w:r>
              <w:rPr>
                <w:rFonts w:ascii="Aptos" w:hAnsi="Aptos"/>
                <w:b w:val="0"/>
                <w:sz w:val="14"/>
              </w:rPr>
              <w:t>2.945</w:t>
            </w:r>
          </w:p>
        </w:tc>
        <w:tc>
          <w:tcPr>
            <w:tcW w:type="dxa" w:w="1452"/>
            <w:vAlign w:val="center"/>
          </w:tcPr>
          <w:p>
            <w:pPr>
              <w:spacing w:after="0"/>
            </w:pPr>
            <w:r/>
            <w:r>
              <w:rPr>
                <w:rFonts w:ascii="Aptos" w:hAnsi="Aptos"/>
                <w:b w:val="0"/>
                <w:sz w:val="14"/>
              </w:rPr>
              <w:t>6.77</w:t>
            </w:r>
          </w:p>
        </w:tc>
        <w:tc>
          <w:tcPr>
            <w:tcW w:type="dxa" w:w="1452"/>
            <w:vAlign w:val="center"/>
          </w:tcPr>
          <w:p>
            <w:pPr>
              <w:spacing w:after="0"/>
            </w:pPr>
            <w:r/>
            <w:r>
              <w:rPr>
                <w:rFonts w:ascii="Aptos" w:hAnsi="Aptos"/>
                <w:b w:val="0"/>
                <w:sz w:val="14"/>
              </w:rPr>
              <w:t>6.825</w:t>
            </w:r>
          </w:p>
        </w:tc>
        <w:tc>
          <w:tcPr>
            <w:tcW w:type="dxa" w:w="1452"/>
            <w:vAlign w:val="center"/>
          </w:tcPr>
          <w:p>
            <w:pPr>
              <w:spacing w:after="0"/>
            </w:pPr>
            <w:r/>
            <w:r>
              <w:rPr>
                <w:rFonts w:ascii="Aptos" w:hAnsi="Aptos"/>
                <w:b w:val="0"/>
                <w:sz w:val="14"/>
              </w:rPr>
              <w:t>6.665</w:t>
            </w:r>
          </w:p>
        </w:tc>
      </w:tr>
    </w:tbl>
    <w:p>
      <w:r>
        <w:t>Example: ten-node world graph. Published MRCA means are 21.1, 24.3, 27.6, 30.5, 33.8. The four increases are 3.2, 3.3, 2.9, 3.3, averaging 3.175 generations; theory predicts 3.00. Published IA increases average 6.825 generations; theory predicts 6.77. The independent replication averages 2.945 and 6.665, respectively.</w:t>
      </w:r>
    </w:p>
    <w:p>
      <w:pPr>
        <w:pStyle w:val="Heading1"/>
      </w:pPr>
      <w:r>
        <w:t>6. Independent bookkeeping and failure-condition tests</w:t>
      </w:r>
    </w:p>
    <w:p>
      <w:r>
        <w:t>A benchmark can match by accident if the ancestry bookkeeping is wrong in a compensating way. Therefore, a second test suite checks the lineage engine itself using deliberately small pedigrees that can be verified by a completely different, slow graph-traversal method.</w:t>
      </w:r>
    </w:p>
    <w:p>
      <w:pPr>
        <w:pStyle w:val="ListBullet"/>
      </w:pPr>
      <w:r>
        <w:t>Bitset vs. explicit traversal: 250 randomly generated pedigrees (N = 2-12, depth = 1-10) were evaluated by both methods. Every ancestor-descendant set matched exactly.</w:t>
      </w:r>
    </w:p>
    <w:p>
      <w:pPr>
        <w:pStyle w:val="ListBullet"/>
      </w:pPr>
      <w:r>
        <w:t>Zero-migration falsification test: two disconnected components of 40 individuals were simulated for 80 generations in 25 trials. A global common ancestor never appeared, as logic requires.</w:t>
      </w:r>
    </w:p>
    <w:p>
      <w:pPr>
        <w:pStyle w:val="ListBullet"/>
      </w:pPr>
      <w:r>
        <w:t>Seed reproducibility: the same seed produced the identical (T_N, U_N) result (8, 17) in repeated N = 250 runs.</w:t>
      </w:r>
    </w:p>
    <w:p>
      <w:pPr>
        <w:pStyle w:val="ListBullet"/>
      </w:pPr>
      <w:r>
        <w:t>MRCA persistence invariant: in 25 random N = 100 pedigrees, once a common ancestor appeared, at least one common ancestor remained in every earlier generation, as ancestry logic requires.</w:t>
      </w:r>
    </w:p>
    <w:p>
      <w:r>
        <w:t>Unit-test console output:</w:t>
      </w:r>
    </w:p>
    <w:p>
      <w:pPr>
        <w:pStyle w:val="Code"/>
        <w:ind w:left="360"/>
      </w:pPr>
      <w:r>
        <w:t>bitset_vs_explicit_trials= 250</w:t>
      </w:r>
    </w:p>
    <w:p>
      <w:pPr>
        <w:pStyle w:val="Code"/>
        <w:ind w:left="360"/>
      </w:pPr>
      <w:r>
        <w:t>disconnected_zero_migration_trials= 25</w:t>
      </w:r>
    </w:p>
    <w:p>
      <w:pPr>
        <w:pStyle w:val="Code"/>
        <w:ind w:left="360"/>
      </w:pPr>
      <w:r>
        <w:t>seed_reproducibility_result= (8, 17)</w:t>
      </w:r>
    </w:p>
    <w:p>
      <w:pPr>
        <w:pStyle w:val="Code"/>
        <w:ind w:left="360"/>
      </w:pPr>
      <w:r>
        <w:t>mrca_persistence_trials= 25</w:t>
      </w:r>
    </w:p>
    <w:p>
      <w:pPr>
        <w:pStyle w:val="Code"/>
        <w:ind w:left="360"/>
      </w:pPr>
      <w:r>
        <w:t>ALL TESTS PASSED</w:t>
      </w:r>
    </w:p>
    <w:p>
      <w:pPr>
        <w:pStyle w:val="Heading1"/>
      </w:pPr>
      <w:r>
        <w:t>7. What the result establishes - and what it does not</w:t>
      </w:r>
    </w:p>
    <w:tbl>
      <w:tblPr>
        <w:tblW w:type="auto" w:w="0"/>
        <w:jc w:val="center"/>
        <w:tblLayout w:type="autofit"/>
        <w:tblLook w:firstColumn="1" w:firstRow="1" w:lastColumn="0" w:lastRow="0" w:noHBand="0" w:noVBand="1" w:val="04A0"/>
      </w:tblPr>
      <w:tblGrid>
        <w:gridCol w:w="10166"/>
      </w:tblGrid>
      <w:tr>
        <w:tc>
          <w:tcPr>
            <w:tcW w:type="dxa" w:w="10166"/>
            <w:shd w:fill="EAF2EA"/>
            <w:tcBorders>
              <w:top w:val="single" w:sz="8" w:color="5E7E61"/>
              <w:left w:val="single" w:sz="8" w:color="5E7E61"/>
              <w:bottom w:val="single" w:sz="8" w:color="5E7E61"/>
              <w:right w:val="single" w:sz="8" w:color="5E7E61"/>
            </w:tcBorders>
          </w:tcPr>
          <w:p>
            <w:pPr>
              <w:spacing w:after="80"/>
            </w:pPr>
            <w:r>
              <w:rPr>
                <w:b/>
                <w:color w:val="5D2D2B"/>
                <w:sz w:val="21"/>
              </w:rPr>
              <w:t>Established by these tests</w:t>
            </w:r>
          </w:p>
          <w:p>
            <w:pPr>
              <w:spacing w:after="40"/>
            </w:pPr>
            <w:r>
              <w:rPr>
                <w:sz w:val="18"/>
              </w:rPr>
              <w:t>The central genealogical-convergence mechanism is computationally reproducible. An independently written program recreates the published simple-graph results to a small fraction of a generation on average, and the observed doubling behavior tracks the analytical predictions. The ancestry-set bookkeeping also passes brute-force and logical failure tests.</w:t>
            </w:r>
          </w:p>
        </w:tc>
      </w:tr>
    </w:tbl>
    <w:p>
      <w:pPr>
        <w:spacing w:after="0"/>
      </w:pPr>
    </w:p>
    <w:tbl>
      <w:tblPr>
        <w:tblW w:type="auto" w:w="0"/>
        <w:jc w:val="center"/>
        <w:tblLayout w:type="autofit"/>
        <w:tblLook w:firstColumn="1" w:firstRow="1" w:lastColumn="0" w:lastRow="0" w:noHBand="0" w:noVBand="1" w:val="04A0"/>
      </w:tblPr>
      <w:tblGrid>
        <w:gridCol w:w="10166"/>
      </w:tblGrid>
      <w:tr>
        <w:tc>
          <w:tcPr>
            <w:tcW w:type="dxa" w:w="10166"/>
            <w:shd w:fill="F6E9E7"/>
            <w:tcBorders>
              <w:top w:val="single" w:sz="8" w:color="93423E"/>
              <w:left w:val="single" w:sz="8" w:color="93423E"/>
              <w:bottom w:val="single" w:sz="8" w:color="93423E"/>
              <w:right w:val="single" w:sz="8" w:color="93423E"/>
            </w:tcBorders>
          </w:tcPr>
          <w:p>
            <w:pPr>
              <w:spacing w:after="80"/>
            </w:pPr>
            <w:r>
              <w:rPr>
                <w:b/>
                <w:color w:val="5D2D2B"/>
                <w:sz w:val="21"/>
              </w:rPr>
              <w:t>Not established by these tests</w:t>
            </w:r>
          </w:p>
          <w:p>
            <w:pPr>
              <w:spacing w:after="40"/>
            </w:pPr>
            <w:r>
              <w:rPr>
                <w:sz w:val="18"/>
              </w:rPr>
              <w:t>The tests do not independently establish the historical existence of Jacob, the survival of his biological lineage, any specific ancient migration rate, or a numerical percentage of modern humans descended from him. Those conclusions depend on historical premises and demographic parameterization. A further software-audit step is also required before saying that the exact deployed website code has itself passed this test harness.</w:t>
            </w:r>
          </w:p>
        </w:tc>
      </w:tr>
    </w:tbl>
    <w:p>
      <w:pPr>
        <w:spacing w:after="0"/>
      </w:pPr>
    </w:p>
    <w:p>
      <w:r>
        <w:t>This distinction matters for scholarly presentation. A defensible statement is: "The simulator uses a genealogical mechanism whose benchmark behavior reproduces Rohde et al. and the associated asymptotic theory. Jacob-specific outputs are conditional model results under stated historical and demographic assumptions."</w:t>
      </w:r>
    </w:p>
    <w:p>
      <w:pPr>
        <w:pStyle w:val="Heading1"/>
      </w:pPr>
      <w:r>
        <w:t>8. Suggested independent-review checklist</w:t>
      </w:r>
    </w:p>
    <w:p>
      <w:pPr>
        <w:pStyle w:val="ListNumber"/>
      </w:pPr>
      <w:r>
        <w:t>Verify the definitions of T_N (genealogical MRCA) and U_N (IA point) against Rohde et al. and Chang.</w:t>
      </w:r>
    </w:p>
    <w:p>
      <w:pPr>
        <w:pStyle w:val="ListNumber"/>
      </w:pPr>
      <w:r>
        <w:t>Verify the graph parameters R, D, and Delta for the three-, five-, and ten-node benchmarks.</w:t>
      </w:r>
    </w:p>
    <w:p>
      <w:pPr>
        <w:pStyle w:val="ListNumber"/>
      </w:pPr>
      <w:r>
        <w:t>Run rohde_full_validation.py independently and compare the generated CSV with the published Tables 1 and 2.</w:t>
      </w:r>
    </w:p>
    <w:p>
      <w:pPr>
        <w:pStyle w:val="ListNumber"/>
      </w:pPr>
      <w:r>
        <w:t>Run jacob_validation_unit_tests.py and inspect the brute-force traversal test.</w:t>
      </w:r>
    </w:p>
    <w:p>
      <w:pPr>
        <w:pStyle w:val="ListNumber"/>
      </w:pPr>
      <w:r>
        <w:t>Check the SHA-256 hashes in validation_manifest.json to ensure the reviewed files are unchanged.</w:t>
      </w:r>
    </w:p>
    <w:p>
      <w:pPr>
        <w:pStyle w:val="ListNumber"/>
      </w:pPr>
      <w:r>
        <w:t>Audit the production Jacob simulator code separately and confirm that its ancestry-propagation routine is equivalent to the validated routine.</w:t>
      </w:r>
    </w:p>
    <w:p>
      <w:pPr>
        <w:pStyle w:val="ListNumber"/>
      </w:pPr>
      <w:r>
        <w:t>Review historical inputs (population sizes, migration routes/rates, fertility, endogamy, dates) separately from the mathematics.</w:t>
      </w:r>
    </w:p>
    <w:p>
      <w:pPr>
        <w:pStyle w:val="ListNumber"/>
      </w:pPr>
      <w:r>
        <w:t>Require sensitivity analysis: show how Jacob-specific outcomes change under conservative, moderate, and liberal connectivity assumptions.</w:t>
      </w:r>
    </w:p>
    <w:p>
      <w:pPr>
        <w:pStyle w:val="Heading1"/>
      </w:pPr>
      <w:r>
        <w:t>Appendix A. Hand calculations</w:t>
      </w:r>
    </w:p>
    <w:p>
      <w:pPr>
        <w:pStyle w:val="Heading2"/>
      </w:pPr>
      <w:r>
        <w:t>A1. One population</w:t>
      </w:r>
    </w:p>
    <w:p>
      <w:r>
        <w:t>For N = 1,000, log2(1,000) = 9.966. The asymptotic MRCA prediction is therefore about 10 generations. Rohde et al. report 10.8; the independent replication gives 10.71. For the IA point, 1.77 x 9.966 = 17.64 as the leading asymptotic term; finite-N effects raise the simulation mean to about 21 generations. Supplementary Methods A explicitly notes that lower-order additive offsets are not determined by the leading asymptotic theorem.</w:t>
      </w:r>
    </w:p>
    <w:p>
      <w:pPr>
        <w:pStyle w:val="Heading2"/>
      </w:pPr>
      <w:r>
        <w:t>A2. Complete graphs</w:t>
      </w:r>
    </w:p>
    <w:p>
      <w:r>
        <w:t>For a complete graph with G &gt; 1 nodes, R = 1 and D = 1. Supplementary Methods A gives Delta = (G - 2)/(G - 1). Thus:</w:t>
      </w:r>
    </w:p>
    <w:p>
      <w:pPr>
        <w:pStyle w:val="ListBullet"/>
      </w:pPr>
      <w:r>
        <w:t>G = 3: Delta = 1/2, so R + Delta = 1.5.</w:t>
      </w:r>
    </w:p>
    <w:p>
      <w:pPr>
        <w:pStyle w:val="ListBullet"/>
      </w:pPr>
      <w:r>
        <w:t>G = 5: Delta = 3/4, so R + Delta = 1.75.</w:t>
      </w:r>
    </w:p>
    <w:p>
      <w:pPr>
        <w:pStyle w:val="ListBullet"/>
      </w:pPr>
      <w:r>
        <w:t>For both graphs, D + 1.77 = 2.77.</w:t>
      </w:r>
    </w:p>
    <w:p>
      <w:pPr>
        <w:pStyle w:val="Heading2"/>
      </w:pPr>
      <w:r>
        <w:t>A3. Ten-node graph</w:t>
      </w:r>
    </w:p>
    <w:p>
      <w:r>
        <w:t>The Nature Figure 1 graph has radius R = 3 and diameter D = 5. Its Delta value is 0, so the expected MRCA increase per doubling is 3.00 generations. The IA increase is 5 + 1.77 = 6.77 generations. These are exactly the final-column predictions printed in the Nature tables.</w:t>
      </w:r>
    </w:p>
    <w:p>
      <w:pPr>
        <w:pStyle w:val="Heading1"/>
      </w:pPr>
      <w:r>
        <w:t>Appendix B. Reproducibility package</w:t>
      </w:r>
    </w:p>
    <w:p>
      <w:r>
        <w:t>Reference run environment: Python 3.13.5, NumPy 2.3.5. The benchmark used 2,000 runs and completed in 264.1 seconds on the validation environment using 4 worker processes.</w:t>
      </w:r>
    </w:p>
    <w:tbl>
      <w:tblPr>
        <w:tblStyle w:val="TableGrid"/>
        <w:tblW w:type="auto" w:w="0"/>
        <w:jc w:val="center"/>
        <w:tblLook w:firstColumn="1" w:firstRow="1" w:lastColumn="0" w:lastRow="0" w:noHBand="0" w:noVBand="1" w:val="04A0"/>
      </w:tblPr>
      <w:tblGrid>
        <w:gridCol w:w="3389"/>
        <w:gridCol w:w="3389"/>
        <w:gridCol w:w="3389"/>
      </w:tblGrid>
      <w:tr>
        <w:tc>
          <w:tcPr>
            <w:tcW w:type="dxa" w:w="3389"/>
            <w:vAlign w:val="center"/>
            <w:shd w:fill="1B2E41"/>
          </w:tcPr>
          <w:p>
            <w:pPr>
              <w:spacing w:after="0"/>
            </w:pPr>
            <w:r/>
            <w:r>
              <w:rPr>
                <w:rFonts w:ascii="Aptos" w:hAnsi="Aptos"/>
                <w:b/>
                <w:color w:val="FFFFFF"/>
                <w:sz w:val="15"/>
              </w:rPr>
              <w:t>File</w:t>
            </w:r>
          </w:p>
        </w:tc>
        <w:tc>
          <w:tcPr>
            <w:tcW w:type="dxa" w:w="3389"/>
            <w:vAlign w:val="center"/>
            <w:shd w:fill="1B2E41"/>
          </w:tcPr>
          <w:p>
            <w:pPr>
              <w:spacing w:after="0"/>
            </w:pPr>
            <w:r/>
            <w:r>
              <w:rPr>
                <w:rFonts w:ascii="Aptos" w:hAnsi="Aptos"/>
                <w:b/>
                <w:color w:val="FFFFFF"/>
                <w:sz w:val="15"/>
              </w:rPr>
              <w:t>Purpose</w:t>
            </w:r>
          </w:p>
        </w:tc>
        <w:tc>
          <w:tcPr>
            <w:tcW w:type="dxa" w:w="3389"/>
            <w:vAlign w:val="center"/>
            <w:shd w:fill="1B2E41"/>
          </w:tcPr>
          <w:p>
            <w:pPr>
              <w:spacing w:after="0"/>
            </w:pPr>
            <w:r/>
            <w:r>
              <w:rPr>
                <w:rFonts w:ascii="Aptos" w:hAnsi="Aptos"/>
                <w:b/>
                <w:color w:val="FFFFFF"/>
                <w:sz w:val="15"/>
              </w:rPr>
              <w:t>SHA-256</w:t>
            </w:r>
          </w:p>
        </w:tc>
      </w:tr>
      <w:tr>
        <w:tc>
          <w:tcPr>
            <w:tcW w:type="dxa" w:w="3389"/>
            <w:vAlign w:val="center"/>
          </w:tcPr>
          <w:p>
            <w:pPr>
              <w:spacing w:after="0"/>
            </w:pPr>
            <w:r/>
            <w:r>
              <w:rPr>
                <w:rFonts w:ascii="Aptos" w:hAnsi="Aptos"/>
                <w:b w:val="0"/>
                <w:sz w:val="14"/>
              </w:rPr>
              <w:t>rohde_full_validation.py</w:t>
            </w:r>
          </w:p>
        </w:tc>
        <w:tc>
          <w:tcPr>
            <w:tcW w:type="dxa" w:w="3389"/>
            <w:vAlign w:val="center"/>
          </w:tcPr>
          <w:p>
            <w:pPr>
              <w:spacing w:after="0"/>
            </w:pPr>
            <w:r/>
            <w:r>
              <w:rPr>
                <w:rFonts w:ascii="Aptos" w:hAnsi="Aptos"/>
                <w:b w:val="0"/>
                <w:sz w:val="14"/>
              </w:rPr>
              <w:t>Full 20-cell benchmark replication</w:t>
            </w:r>
          </w:p>
        </w:tc>
        <w:tc>
          <w:tcPr>
            <w:tcW w:type="dxa" w:w="3389"/>
            <w:vAlign w:val="center"/>
          </w:tcPr>
          <w:p>
            <w:pPr>
              <w:spacing w:after="0"/>
            </w:pPr>
            <w:r/>
            <w:r>
              <w:rPr>
                <w:rFonts w:ascii="Aptos" w:hAnsi="Aptos"/>
                <w:b w:val="0"/>
                <w:sz w:val="12"/>
              </w:rPr>
              <w:t>1010b060778e2199816a56f20ef3057310ce5bbe5b9465ba5938dd061d5fb184</w:t>
            </w:r>
          </w:p>
        </w:tc>
      </w:tr>
      <w:tr>
        <w:tc>
          <w:tcPr>
            <w:tcW w:type="dxa" w:w="3389"/>
            <w:vAlign w:val="center"/>
          </w:tcPr>
          <w:p>
            <w:pPr>
              <w:spacing w:after="0"/>
            </w:pPr>
            <w:r/>
            <w:r>
              <w:rPr>
                <w:rFonts w:ascii="Aptos" w:hAnsi="Aptos"/>
                <w:b w:val="0"/>
                <w:sz w:val="14"/>
              </w:rPr>
              <w:t>rohde_full_validation_results.csv</w:t>
            </w:r>
          </w:p>
        </w:tc>
        <w:tc>
          <w:tcPr>
            <w:tcW w:type="dxa" w:w="3389"/>
            <w:vAlign w:val="center"/>
          </w:tcPr>
          <w:p>
            <w:pPr>
              <w:spacing w:after="0"/>
            </w:pPr>
            <w:r/>
            <w:r>
              <w:rPr>
                <w:rFonts w:ascii="Aptos" w:hAnsi="Aptos"/>
                <w:b w:val="0"/>
                <w:sz w:val="14"/>
              </w:rPr>
              <w:t>Cell means/SDs vs. published values</w:t>
            </w:r>
          </w:p>
        </w:tc>
        <w:tc>
          <w:tcPr>
            <w:tcW w:type="dxa" w:w="3389"/>
            <w:vAlign w:val="center"/>
          </w:tcPr>
          <w:p>
            <w:pPr>
              <w:spacing w:after="0"/>
            </w:pPr>
            <w:r/>
            <w:r>
              <w:rPr>
                <w:rFonts w:ascii="Aptos" w:hAnsi="Aptos"/>
                <w:b w:val="0"/>
                <w:sz w:val="12"/>
              </w:rPr>
              <w:t>86f9466a2c33d2c8cc81f40d4d77c6dd6bf15c74080ddb28513b5e55352960f8</w:t>
            </w:r>
          </w:p>
        </w:tc>
      </w:tr>
      <w:tr>
        <w:tc>
          <w:tcPr>
            <w:tcW w:type="dxa" w:w="3389"/>
            <w:vAlign w:val="center"/>
          </w:tcPr>
          <w:p>
            <w:pPr>
              <w:spacing w:after="0"/>
            </w:pPr>
            <w:r/>
            <w:r>
              <w:rPr>
                <w:rFonts w:ascii="Aptos" w:hAnsi="Aptos"/>
                <w:b w:val="0"/>
                <w:sz w:val="14"/>
              </w:rPr>
              <w:t>rohde_full_validation_raw_runs.csv</w:t>
            </w:r>
          </w:p>
        </w:tc>
        <w:tc>
          <w:tcPr>
            <w:tcW w:type="dxa" w:w="3389"/>
            <w:vAlign w:val="center"/>
          </w:tcPr>
          <w:p>
            <w:pPr>
              <w:spacing w:after="0"/>
            </w:pPr>
            <w:r/>
            <w:r>
              <w:rPr>
                <w:rFonts w:ascii="Aptos" w:hAnsi="Aptos"/>
                <w:b w:val="0"/>
                <w:sz w:val="14"/>
              </w:rPr>
              <w:t>All 2,000 individual simulation outputs</w:t>
            </w:r>
          </w:p>
        </w:tc>
        <w:tc>
          <w:tcPr>
            <w:tcW w:type="dxa" w:w="3389"/>
            <w:vAlign w:val="center"/>
          </w:tcPr>
          <w:p>
            <w:pPr>
              <w:spacing w:after="0"/>
            </w:pPr>
            <w:r/>
            <w:r>
              <w:rPr>
                <w:rFonts w:ascii="Aptos" w:hAnsi="Aptos"/>
                <w:b w:val="0"/>
                <w:sz w:val="12"/>
              </w:rPr>
              <w:t>1ba4264c5d1a9f8306dc3c40924837bf006021a814535dc057140638bd8038f5</w:t>
            </w:r>
          </w:p>
        </w:tc>
      </w:tr>
      <w:tr>
        <w:tc>
          <w:tcPr>
            <w:tcW w:type="dxa" w:w="3389"/>
            <w:vAlign w:val="center"/>
          </w:tcPr>
          <w:p>
            <w:pPr>
              <w:spacing w:after="0"/>
            </w:pPr>
            <w:r/>
            <w:r>
              <w:rPr>
                <w:rFonts w:ascii="Aptos" w:hAnsi="Aptos"/>
                <w:b w:val="0"/>
                <w:sz w:val="14"/>
              </w:rPr>
              <w:t>jacob_validation_unit_tests.py</w:t>
            </w:r>
          </w:p>
        </w:tc>
        <w:tc>
          <w:tcPr>
            <w:tcW w:type="dxa" w:w="3389"/>
            <w:vAlign w:val="center"/>
          </w:tcPr>
          <w:p>
            <w:pPr>
              <w:spacing w:after="0"/>
            </w:pPr>
            <w:r/>
            <w:r>
              <w:rPr>
                <w:rFonts w:ascii="Aptos" w:hAnsi="Aptos"/>
                <w:b w:val="0"/>
                <w:sz w:val="14"/>
              </w:rPr>
              <w:t>Brute-force and logical invariants</w:t>
            </w:r>
          </w:p>
        </w:tc>
        <w:tc>
          <w:tcPr>
            <w:tcW w:type="dxa" w:w="3389"/>
            <w:vAlign w:val="center"/>
          </w:tcPr>
          <w:p>
            <w:pPr>
              <w:spacing w:after="0"/>
            </w:pPr>
            <w:r/>
            <w:r>
              <w:rPr>
                <w:rFonts w:ascii="Aptos" w:hAnsi="Aptos"/>
                <w:b w:val="0"/>
                <w:sz w:val="12"/>
              </w:rPr>
              <w:t>4e1a1e4cf8b5b956499b129255bd416f95d3a14a2106b99dd5f1f43d76a8c24d</w:t>
            </w:r>
          </w:p>
        </w:tc>
      </w:tr>
      <w:tr>
        <w:tc>
          <w:tcPr>
            <w:tcW w:type="dxa" w:w="3389"/>
            <w:vAlign w:val="center"/>
          </w:tcPr>
          <w:p>
            <w:pPr>
              <w:spacing w:after="0"/>
            </w:pPr>
            <w:r/>
            <w:r>
              <w:rPr>
                <w:rFonts w:ascii="Aptos" w:hAnsi="Aptos"/>
                <w:b w:val="0"/>
                <w:sz w:val="14"/>
              </w:rPr>
              <w:t>jacob_validation_unit_test_results.txt</w:t>
            </w:r>
          </w:p>
        </w:tc>
        <w:tc>
          <w:tcPr>
            <w:tcW w:type="dxa" w:w="3389"/>
            <w:vAlign w:val="center"/>
          </w:tcPr>
          <w:p>
            <w:pPr>
              <w:spacing w:after="0"/>
            </w:pPr>
            <w:r/>
            <w:r>
              <w:rPr>
                <w:rFonts w:ascii="Aptos" w:hAnsi="Aptos"/>
                <w:b w:val="0"/>
                <w:sz w:val="14"/>
              </w:rPr>
              <w:t>Unit-test console output</w:t>
            </w:r>
          </w:p>
        </w:tc>
        <w:tc>
          <w:tcPr>
            <w:tcW w:type="dxa" w:w="3389"/>
            <w:vAlign w:val="center"/>
          </w:tcPr>
          <w:p>
            <w:pPr>
              <w:spacing w:after="0"/>
            </w:pPr>
            <w:r/>
            <w:r>
              <w:rPr>
                <w:rFonts w:ascii="Aptos" w:hAnsi="Aptos"/>
                <w:b w:val="0"/>
                <w:sz w:val="12"/>
              </w:rPr>
              <w:t>afbbd54a42364004c890776b6f0c792cef09fceeeb72497fd6e4221776675bf3</w:t>
            </w:r>
          </w:p>
        </w:tc>
      </w:tr>
    </w:tbl>
    <w:p>
      <w:pPr>
        <w:pStyle w:val="Heading2"/>
      </w:pPr>
      <w:r>
        <w:t>Minimal commands:</w:t>
      </w:r>
    </w:p>
    <w:p>
      <w:pPr>
        <w:pStyle w:val="Code"/>
        <w:ind w:left="360"/>
      </w:pPr>
      <w:r>
        <w:t>python rohde_full_validation.py</w:t>
      </w:r>
    </w:p>
    <w:p>
      <w:pPr>
        <w:pStyle w:val="Code"/>
        <w:ind w:left="360"/>
      </w:pPr>
      <w:r>
        <w:t>python jacob_validation_unit_tests.py</w:t>
      </w:r>
    </w:p>
    <w:p>
      <w:pPr>
        <w:pStyle w:val="Heading1"/>
      </w:pPr>
      <w:r>
        <w:t>References</w:t>
      </w:r>
    </w:p>
    <w:p>
      <w:pPr>
        <w:spacing w:after="80"/>
        <w:ind w:left="259" w:hanging="259"/>
      </w:pPr>
      <w:r>
        <w:rPr>
          <w:sz w:val="17"/>
        </w:rPr>
        <w:t>1. Rohde, D. L. T., Olson, S., &amp; Chang, J. T. (2004). Modelling the recent common ancestry of all living humans. Nature 431, 562-566. https://doi.org/10.1038/nature02842</w:t>
      </w:r>
    </w:p>
    <w:p>
      <w:pPr>
        <w:spacing w:after="80"/>
        <w:ind w:left="259" w:hanging="259"/>
      </w:pPr>
      <w:r>
        <w:rPr>
          <w:sz w:val="17"/>
        </w:rPr>
        <w:t>2. Rohde, D. L. T., Olson, S., &amp; Chang, J. T. Supplementary Methods A: Further Explanation and Derivations of Mathematical Results.</w:t>
      </w:r>
    </w:p>
    <w:p>
      <w:pPr>
        <w:spacing w:after="80"/>
        <w:ind w:left="259" w:hanging="259"/>
      </w:pPr>
      <w:r>
        <w:rPr>
          <w:sz w:val="17"/>
        </w:rPr>
        <w:t>3. Rohde, D. L. T., Olson, S., &amp; Chang, J. T. Supplementary Methods B: Further Details of the Computational Model.</w:t>
      </w:r>
    </w:p>
    <w:p>
      <w:pPr>
        <w:spacing w:after="80"/>
        <w:ind w:left="259" w:hanging="259"/>
      </w:pPr>
      <w:r>
        <w:rPr>
          <w:sz w:val="17"/>
        </w:rPr>
        <w:t>4. Chang, J. T. (1999). Recent common ancestors of all present-day individuals. Advances in Applied Probability 31, 1002-1026. https://doi.org/10.1017/S0001867800009587</w:t>
      </w:r>
    </w:p>
    <w:p>
      <w:pPr>
        <w:spacing w:after="80"/>
        <w:ind w:left="259" w:hanging="259"/>
      </w:pPr>
      <w:r>
        <w:rPr>
          <w:sz w:val="17"/>
        </w:rPr>
        <w:t>5. Hein, J. (2004). Human evolution: Pedigrees for all humanity. Nature 431, 518-519. https://doi.org/10.1038/431518a</w:t>
      </w:r>
    </w:p>
    <w:p>
      <w:pPr>
        <w:spacing w:after="80"/>
        <w:ind w:left="259" w:hanging="259"/>
      </w:pPr>
      <w:r>
        <w:rPr>
          <w:sz w:val="17"/>
        </w:rPr>
        <w:t>6. Kelleher, J., Etheridge, A. M., Veber, A., &amp; Barton, N. H. (2016). Spread of pedigree versus genetic ancestry in spatially distributed populations. Theoretical Population Biology 108, 1-12. https://doi.org/10.1016/j.tpb.2015.10.008</w:t>
      </w:r>
    </w:p>
    <w:p>
      <w:pPr>
        <w:spacing w:after="80"/>
        <w:ind w:left="259" w:hanging="259"/>
      </w:pPr>
      <w:r>
        <w:rPr>
          <w:sz w:val="17"/>
        </w:rPr>
        <w:t>7. Ralph, P., &amp; Coop, G. (2013). The Geography of Recent Genetic Ancestry across Europe. PLoS Biology 11(5), e1001555. https://doi.org/10.1371/journal.pbio.1001555</w:t>
      </w:r>
    </w:p>
    <w:sectPr w:rsidR="00FC693F" w:rsidRPr="0006063C" w:rsidSect="00034616">
      <w:footerReference w:type="default" r:id="rId9"/>
      <w:pgSz w:w="12240" w:h="15840"/>
      <w:pgMar w:top="1008" w:right="1037" w:bottom="1008" w:left="103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46464"/>
        <w:sz w:val="16"/>
      </w:rPr>
      <w:t>Jacob Ancestry Simulator - Mathematical Validation | 31 August 2026</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Georgia" w:hAnsi="Georgia"/>
      <w:b/>
      <w:bCs/>
      <w:color w:val="1B2E41"/>
      <w:sz w:val="3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Georgia" w:hAnsi="Georgia"/>
      <w:b/>
      <w:bCs/>
      <w:color w:val="5D2D2B"/>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Georgia" w:hAnsi="Georgia"/>
      <w:b/>
      <w:bCs/>
      <w:color w:val="1B2E41"/>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Georgia" w:hAnsi="Georgia"/>
      <w:b/>
      <w:color w:val="1B2E41"/>
      <w:spacing w:val="5"/>
      <w:kern w:val="28"/>
      <w:sz w:val="5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mallNote">
    <w:name w:val="Small Note"/>
    <w:rPr>
      <w:rFonts w:ascii="Aptos" w:hAnsi="Aptos"/>
      <w:color w:val="505050"/>
      <w:sz w:val="17"/>
    </w:rPr>
  </w:style>
  <w:style w:type="paragraph" w:customStyle="1" w:styleId="Code">
    <w:name w:val="Code"/>
    <w:rPr>
      <w:rFonts w:ascii="Courier New" w:hAnsi="Courier New"/>
      <w:sz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